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116"/>
      </w:tblGrid>
      <w:tr w:rsidR="00F7211C">
        <w:trPr>
          <w:trHeight w:val="867"/>
        </w:trPr>
        <w:tc>
          <w:tcPr>
            <w:tcW w:w="3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1C" w:rsidRDefault="00DA13CB">
            <w:pPr>
              <w:pStyle w:val="NormalWeb"/>
              <w:shd w:val="clear" w:color="auto" w:fill="FFFFFF"/>
              <w:spacing w:line="264" w:lineRule="auto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ỦY BAN NHÂN DÂN</w:t>
            </w:r>
            <w:r>
              <w:rPr>
                <w:b/>
                <w:bCs/>
                <w:sz w:val="28"/>
                <w:szCs w:val="28"/>
              </w:rPr>
              <w:br/>
              <w:t xml:space="preserve">TỈNH </w:t>
            </w:r>
            <w:r>
              <w:rPr>
                <w:b/>
                <w:sz w:val="28"/>
                <w:szCs w:val="28"/>
              </w:rPr>
              <w:t>LONG AN</w:t>
            </w:r>
          </w:p>
          <w:p w:rsidR="00F7211C" w:rsidRDefault="00DA13CB">
            <w:pPr>
              <w:pStyle w:val="NormalWeb"/>
              <w:spacing w:line="264" w:lineRule="auto"/>
              <w:jc w:val="center"/>
            </w:pPr>
            <w:r>
              <w:rPr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672464</wp:posOffset>
                      </wp:positionH>
                      <wp:positionV relativeFrom="paragraph">
                        <wp:posOffset>24129</wp:posOffset>
                      </wp:positionV>
                      <wp:extent cx="575309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753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0" o:spid="_x0000_s0000" o:spt="20" style="position:absolute;mso-wrap-distance-left:9.0pt;mso-wrap-distance-top:0.0pt;mso-wrap-distance-right:9.0pt;mso-wrap-distance-bottom:0.0pt;z-index:251658241;o:allowoverlap:true;o:allowincell:true;mso-position-horizontal-relative:text;margin-left:52.9pt;mso-position-horizontal:absolute;mso-position-vertical-relative:text;margin-top:1.9pt;mso-position-vertical:absolute;width:45.3pt;height:0.0pt;" coordsize="100000,100000" path="" filled="f" strokecolor="#000000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6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1C" w:rsidRDefault="00DA13CB">
            <w:pPr>
              <w:pStyle w:val="NormalWeb"/>
              <w:spacing w:line="264" w:lineRule="auto"/>
              <w:jc w:val="center"/>
            </w:pPr>
            <w:r>
              <w:rPr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478154</wp:posOffset>
                      </wp:positionV>
                      <wp:extent cx="21717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1" o:spid="_x0000_s0000" o:spt="20" style="position:absolute;mso-wrap-distance-left:9.0pt;mso-wrap-distance-top:0.0pt;mso-wrap-distance-right:9.0pt;mso-wrap-distance-bottom:0.0pt;z-index:524288;o:allowoverlap:true;o:allowincell:true;mso-position-horizontal-relative:text;margin-left:69.8pt;mso-position-horizontal:absolute;mso-position-vertical-relative:text;margin-top:37.6pt;mso-position-vertical:absolute;width:171.0pt;height:0.0pt;" coordsize="100000,100000" path="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CỘNG HÒA XÃ HỘI CHỦ NGHĨA VIỆT NAM</w:t>
            </w:r>
            <w:r>
              <w:rPr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>
              <w:rPr>
                <w:b/>
                <w:bCs/>
                <w:sz w:val="28"/>
                <w:szCs w:val="28"/>
              </w:rPr>
              <w:t>Hạnh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</w:p>
        </w:tc>
      </w:tr>
      <w:tr w:rsidR="00F7211C">
        <w:trPr>
          <w:trHeight w:val="300"/>
        </w:trPr>
        <w:tc>
          <w:tcPr>
            <w:tcW w:w="3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1C" w:rsidRDefault="00DA13CB">
            <w:pPr>
              <w:pStyle w:val="NormalWeb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69/2018/QĐ-UBND</w:t>
            </w:r>
          </w:p>
        </w:tc>
        <w:tc>
          <w:tcPr>
            <w:tcW w:w="6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1C" w:rsidRDefault="00DA13CB">
            <w:pPr>
              <w:pStyle w:val="NormalWeb"/>
              <w:spacing w:line="264" w:lineRule="auto"/>
              <w:jc w:val="center"/>
            </w:pPr>
            <w:r>
              <w:rPr>
                <w:i/>
                <w:iCs/>
                <w:sz w:val="28"/>
                <w:szCs w:val="28"/>
              </w:rPr>
              <w:t xml:space="preserve">Long An, </w:t>
            </w:r>
            <w:proofErr w:type="spellStart"/>
            <w:r>
              <w:rPr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  11  </w:t>
            </w:r>
            <w:proofErr w:type="spellStart"/>
            <w:r>
              <w:rPr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12   </w:t>
            </w:r>
            <w:proofErr w:type="spellStart"/>
            <w:r>
              <w:rPr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2018</w:t>
            </w:r>
          </w:p>
        </w:tc>
      </w:tr>
    </w:tbl>
    <w:p w:rsidR="00F7211C" w:rsidRDefault="00DA13CB">
      <w:pPr>
        <w:pStyle w:val="NormalWeb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F7211C" w:rsidRDefault="00DA13CB">
      <w:pPr>
        <w:pStyle w:val="NormalWeb"/>
        <w:shd w:val="clear" w:color="auto" w:fill="FFFFFF"/>
        <w:spacing w:line="240" w:lineRule="auto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QUYẾT ĐỊNH</w:t>
      </w:r>
    </w:p>
    <w:p w:rsidR="00F7211C" w:rsidRDefault="00DA13CB">
      <w:pPr>
        <w:pStyle w:val="NormalWeb"/>
        <w:shd w:val="clear" w:color="auto" w:fill="FFFFFF"/>
        <w:spacing w:line="240" w:lineRule="auto"/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2019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sở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định</w:t>
      </w:r>
      <w:proofErr w:type="spellEnd"/>
    </w:p>
    <w:p w:rsidR="00F7211C" w:rsidRDefault="00DA13CB">
      <w:pPr>
        <w:pStyle w:val="NormalWeb"/>
        <w:shd w:val="clear" w:color="auto" w:fill="FFFFFF"/>
        <w:spacing w:line="240" w:lineRule="auto"/>
        <w:ind w:firstLine="567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nghĩa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người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tỉnh</w:t>
      </w:r>
      <w:proofErr w:type="spellEnd"/>
      <w:r>
        <w:rPr>
          <w:b/>
          <w:sz w:val="28"/>
          <w:szCs w:val="28"/>
        </w:rPr>
        <w:t xml:space="preserve"> Long An</w:t>
      </w:r>
    </w:p>
    <w:p w:rsidR="00F7211C" w:rsidRDefault="00DA13CB">
      <w:pPr>
        <w:pStyle w:val="NormalWeb"/>
        <w:shd w:val="clear" w:color="auto" w:fill="FFFFFF"/>
        <w:jc w:val="center"/>
        <w:rPr>
          <w:b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2349499</wp:posOffset>
                </wp:positionH>
                <wp:positionV relativeFrom="paragraph">
                  <wp:posOffset>144779</wp:posOffset>
                </wp:positionV>
                <wp:extent cx="1485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0000" o:spt="20" style="position:absolute;mso-wrap-distance-left:9.0pt;mso-wrap-distance-top:0.0pt;mso-wrap-distance-right:9.0pt;mso-wrap-distance-bottom:0.0pt;z-index:251658242;o:allowoverlap:true;o:allowincell:true;mso-position-horizontal-relative:text;margin-left:185.0pt;mso-position-horizontal:absolute;mso-position-vertical-relative:text;margin-top:11.4pt;mso-position-vertical:absolute;width:117.0pt;height:0.0pt;" coordsize="100000,100000" path="" filled="f" strokecolor="#000000">
                <v:path textboxrect="0,0,0,0"/>
              </v:shape>
            </w:pict>
          </mc:Fallback>
        </mc:AlternateContent>
      </w:r>
    </w:p>
    <w:p w:rsidR="00F7211C" w:rsidRDefault="00DA13CB">
      <w:pPr>
        <w:pStyle w:val="NormalWeb"/>
        <w:shd w:val="clear" w:color="auto" w:fill="FFFFFF"/>
        <w:spacing w:after="40" w:line="240" w:lineRule="auto"/>
        <w:ind w:firstLine="6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ỦY BAN NHÂN DÂN TỈNH LONG AN</w:t>
      </w:r>
    </w:p>
    <w:p w:rsidR="00F7211C" w:rsidRDefault="00DA13CB">
      <w:pPr>
        <w:pStyle w:val="NormalWeb"/>
        <w:shd w:val="clear" w:color="auto" w:fill="FFFFFF"/>
        <w:spacing w:after="40" w:line="240" w:lineRule="auto"/>
        <w:ind w:firstLine="680"/>
        <w:jc w:val="both"/>
        <w:rPr>
          <w:i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Căn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Luật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Tổ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chức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chính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quyền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phương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19/6/2015; </w:t>
      </w:r>
    </w:p>
    <w:p w:rsidR="00F7211C" w:rsidRDefault="00DA13CB">
      <w:pPr>
        <w:pStyle w:val="NormalWeb"/>
        <w:shd w:val="clear" w:color="auto" w:fill="FFFFFF"/>
        <w:spacing w:after="40" w:line="240" w:lineRule="auto"/>
        <w:ind w:firstLine="680"/>
        <w:jc w:val="both"/>
        <w:rPr>
          <w:i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Căn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Luật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Đất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đai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29/11/2013; </w:t>
      </w:r>
    </w:p>
    <w:p w:rsidR="00F7211C" w:rsidRDefault="00DA13CB">
      <w:pPr>
        <w:widowControl w:val="0"/>
        <w:spacing w:after="40"/>
        <w:ind w:firstLine="720"/>
        <w:jc w:val="both"/>
        <w:rPr>
          <w:i/>
        </w:rPr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Luật</w:t>
      </w:r>
      <w:proofErr w:type="spellEnd"/>
      <w:r>
        <w:rPr>
          <w:i/>
          <w:iCs/>
        </w:rPr>
        <w:t xml:space="preserve"> Ban </w:t>
      </w:r>
      <w:proofErr w:type="spellStart"/>
      <w:r>
        <w:rPr>
          <w:i/>
          <w:iCs/>
        </w:rPr>
        <w:t>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phạm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pháp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22/</w:t>
      </w:r>
      <w:r>
        <w:rPr>
          <w:i/>
          <w:iCs/>
        </w:rPr>
        <w:t>6/2015;</w:t>
      </w:r>
    </w:p>
    <w:p w:rsidR="00F7211C" w:rsidRDefault="00DA13CB">
      <w:pPr>
        <w:pStyle w:val="NormalWeb"/>
        <w:shd w:val="clear" w:color="auto" w:fill="FFFFFF"/>
        <w:spacing w:after="40" w:line="240" w:lineRule="auto"/>
        <w:ind w:firstLine="680"/>
        <w:jc w:val="both"/>
        <w:rPr>
          <w:i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Căn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Nghị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số</w:t>
      </w:r>
      <w:proofErr w:type="spellEnd"/>
      <w:r>
        <w:rPr>
          <w:i/>
          <w:iCs/>
          <w:sz w:val="28"/>
          <w:szCs w:val="28"/>
        </w:rPr>
        <w:t xml:space="preserve"> 43/2014/NĐ-CP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15/5/2014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Chính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phủ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quy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chi </w:t>
      </w:r>
      <w:proofErr w:type="spellStart"/>
      <w:r>
        <w:rPr>
          <w:i/>
          <w:iCs/>
          <w:sz w:val="28"/>
          <w:szCs w:val="28"/>
        </w:rPr>
        <w:t>tiết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hành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một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số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điều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Luật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Đất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đai</w:t>
      </w:r>
      <w:proofErr w:type="spellEnd"/>
      <w:proofErr w:type="gramEnd"/>
      <w:r>
        <w:rPr>
          <w:i/>
          <w:iCs/>
          <w:sz w:val="28"/>
          <w:szCs w:val="28"/>
        </w:rPr>
        <w:t>;</w:t>
      </w:r>
    </w:p>
    <w:p w:rsidR="00F7211C" w:rsidRDefault="00DA13CB">
      <w:pPr>
        <w:spacing w:after="40"/>
        <w:ind w:firstLine="680"/>
        <w:jc w:val="both"/>
        <w:rPr>
          <w:i/>
        </w:rPr>
      </w:pPr>
      <w:proofErr w:type="spellStart"/>
      <w:r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định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44/2014/NĐ-CP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15/5/2014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định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đất</w:t>
      </w:r>
      <w:proofErr w:type="spellEnd"/>
      <w:r>
        <w:rPr>
          <w:i/>
        </w:rPr>
        <w:t xml:space="preserve">; </w:t>
      </w:r>
    </w:p>
    <w:p w:rsidR="00F7211C" w:rsidRDefault="00DA13CB">
      <w:pPr>
        <w:pStyle w:val="NormalWeb"/>
        <w:shd w:val="clear" w:color="auto" w:fill="FFFFFF"/>
        <w:spacing w:after="40" w:line="240" w:lineRule="auto"/>
        <w:ind w:firstLine="68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Căn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Nghị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số</w:t>
      </w:r>
      <w:proofErr w:type="spellEnd"/>
      <w:r>
        <w:rPr>
          <w:i/>
          <w:iCs/>
          <w:sz w:val="28"/>
          <w:szCs w:val="28"/>
        </w:rPr>
        <w:t xml:space="preserve"> 45/2014/NĐ-CP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15/5</w:t>
      </w:r>
      <w:r>
        <w:rPr>
          <w:i/>
          <w:iCs/>
          <w:sz w:val="28"/>
          <w:szCs w:val="28"/>
        </w:rPr>
        <w:t xml:space="preserve">/2014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Chính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phủ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quy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về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thu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tiền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sử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dụng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đất</w:t>
      </w:r>
      <w:proofErr w:type="spellEnd"/>
      <w:r>
        <w:rPr>
          <w:i/>
          <w:iCs/>
          <w:sz w:val="28"/>
          <w:szCs w:val="28"/>
        </w:rPr>
        <w:t xml:space="preserve">; </w:t>
      </w:r>
    </w:p>
    <w:p w:rsidR="00F7211C" w:rsidRDefault="00DA13CB">
      <w:pPr>
        <w:pStyle w:val="NormalWeb"/>
        <w:shd w:val="clear" w:color="auto" w:fill="FFFFFF"/>
        <w:spacing w:after="40" w:line="240" w:lineRule="auto"/>
        <w:ind w:firstLine="68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Căn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Nghị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số</w:t>
      </w:r>
      <w:proofErr w:type="spellEnd"/>
      <w:r>
        <w:rPr>
          <w:i/>
          <w:iCs/>
          <w:sz w:val="28"/>
          <w:szCs w:val="28"/>
        </w:rPr>
        <w:t xml:space="preserve"> 46/2014/NĐ-CP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15/5/2014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Chính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phủ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quy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về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thu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tiền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thuê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đất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thuê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mặt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nước</w:t>
      </w:r>
      <w:proofErr w:type="spellEnd"/>
      <w:r>
        <w:rPr>
          <w:i/>
          <w:iCs/>
          <w:sz w:val="28"/>
          <w:szCs w:val="28"/>
        </w:rPr>
        <w:t xml:space="preserve">; </w:t>
      </w:r>
    </w:p>
    <w:p w:rsidR="00F7211C" w:rsidRDefault="00DA13CB">
      <w:pPr>
        <w:shd w:val="clear" w:color="auto" w:fill="FFFFFF"/>
        <w:spacing w:after="40"/>
        <w:ind w:firstLine="680"/>
        <w:jc w:val="both"/>
        <w:rPr>
          <w:i/>
          <w:iCs/>
        </w:rPr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34/2016/NĐ-CP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14/5/2016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chi </w:t>
      </w:r>
      <w:proofErr w:type="spellStart"/>
      <w:r>
        <w:rPr>
          <w:i/>
          <w:iCs/>
        </w:rPr>
        <w:t>tiết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</w:t>
      </w:r>
      <w:r>
        <w:rPr>
          <w:i/>
          <w:iCs/>
        </w:rPr>
        <w:t>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pháp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Luật</w:t>
      </w:r>
      <w:proofErr w:type="spellEnd"/>
      <w:r>
        <w:rPr>
          <w:i/>
          <w:iCs/>
        </w:rPr>
        <w:t xml:space="preserve"> ban </w:t>
      </w:r>
      <w:proofErr w:type="spellStart"/>
      <w:r>
        <w:rPr>
          <w:i/>
          <w:iCs/>
        </w:rPr>
        <w:t>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phạm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pháp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luật</w:t>
      </w:r>
      <w:proofErr w:type="spellEnd"/>
      <w:r>
        <w:rPr>
          <w:i/>
          <w:iCs/>
        </w:rPr>
        <w:t>;</w:t>
      </w:r>
    </w:p>
    <w:p w:rsidR="00F7211C" w:rsidRDefault="00DA13CB">
      <w:pPr>
        <w:shd w:val="clear" w:color="auto" w:fill="FFFFFF"/>
        <w:spacing w:after="40"/>
        <w:ind w:firstLine="680"/>
        <w:jc w:val="both"/>
        <w:rPr>
          <w:i/>
          <w:iCs/>
        </w:rPr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135/2016/NĐ-CP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09/9/2016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sửa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đổi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bổ</w:t>
      </w:r>
      <w:proofErr w:type="spellEnd"/>
      <w:r>
        <w:rPr>
          <w:i/>
          <w:iCs/>
        </w:rPr>
        <w:t xml:space="preserve"> sung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thu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dụng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thuê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mặt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nước</w:t>
      </w:r>
      <w:proofErr w:type="spellEnd"/>
      <w:r>
        <w:rPr>
          <w:i/>
          <w:iCs/>
        </w:rPr>
        <w:t>;</w:t>
      </w:r>
    </w:p>
    <w:p w:rsidR="00F7211C" w:rsidRDefault="00DA13CB">
      <w:pPr>
        <w:shd w:val="clear" w:color="auto" w:fill="FFFFFF"/>
        <w:spacing w:after="40"/>
        <w:ind w:firstLine="680"/>
        <w:jc w:val="both"/>
        <w:rPr>
          <w:i/>
          <w:iCs/>
        </w:rPr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01/2017/NĐ-CP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06/01/2017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sửa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đổi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bổ</w:t>
      </w:r>
      <w:proofErr w:type="spellEnd"/>
      <w:r>
        <w:rPr>
          <w:i/>
          <w:iCs/>
        </w:rPr>
        <w:t xml:space="preserve"> sung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chi </w:t>
      </w:r>
      <w:proofErr w:type="spellStart"/>
      <w:r>
        <w:rPr>
          <w:i/>
          <w:iCs/>
        </w:rPr>
        <w:t>tiết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Đất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đai</w:t>
      </w:r>
      <w:proofErr w:type="spellEnd"/>
      <w:proofErr w:type="gramEnd"/>
      <w:r>
        <w:rPr>
          <w:i/>
          <w:iCs/>
        </w:rPr>
        <w:t>;</w:t>
      </w:r>
    </w:p>
    <w:p w:rsidR="00F7211C" w:rsidRDefault="00DA13CB">
      <w:pPr>
        <w:shd w:val="clear" w:color="auto" w:fill="FFFFFF"/>
        <w:spacing w:after="40"/>
        <w:ind w:firstLine="680"/>
        <w:jc w:val="both"/>
        <w:rPr>
          <w:i/>
          <w:iCs/>
        </w:rPr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123/2017/NĐ-CP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14/11/2017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sửa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đổi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bổ</w:t>
      </w:r>
      <w:proofErr w:type="spellEnd"/>
      <w:r>
        <w:rPr>
          <w:i/>
          <w:iCs/>
        </w:rPr>
        <w:t xml:space="preserve"> sung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thu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dụng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thuê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mặt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nước</w:t>
      </w:r>
      <w:proofErr w:type="spellEnd"/>
      <w:r>
        <w:rPr>
          <w:i/>
          <w:iCs/>
        </w:rPr>
        <w:t>;</w:t>
      </w:r>
    </w:p>
    <w:p w:rsidR="00F7211C" w:rsidRDefault="00DA13CB">
      <w:pPr>
        <w:pStyle w:val="NormalWeb"/>
        <w:shd w:val="clear" w:color="auto" w:fill="FFFFFF"/>
        <w:spacing w:after="40" w:line="240" w:lineRule="auto"/>
        <w:ind w:firstLine="68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Căn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Thông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số</w:t>
      </w:r>
      <w:proofErr w:type="spellEnd"/>
      <w:r>
        <w:rPr>
          <w:i/>
          <w:iCs/>
          <w:sz w:val="28"/>
          <w:szCs w:val="28"/>
        </w:rPr>
        <w:t xml:space="preserve"> 76/2014/TT-BTC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16/6/2014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Bộ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Tài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chính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hướng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dẫn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một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số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điều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Nghị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45/2014/NĐ-CP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15/5/2014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Chính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phủ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quy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về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thu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tiền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sử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dụng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đất</w:t>
      </w:r>
      <w:proofErr w:type="spellEnd"/>
      <w:r>
        <w:rPr>
          <w:i/>
          <w:iCs/>
          <w:sz w:val="28"/>
          <w:szCs w:val="28"/>
        </w:rPr>
        <w:t xml:space="preserve">; </w:t>
      </w:r>
    </w:p>
    <w:p w:rsidR="00F7211C" w:rsidRDefault="00DA13CB">
      <w:pPr>
        <w:pStyle w:val="NormalWeb"/>
        <w:shd w:val="clear" w:color="auto" w:fill="FFFFFF"/>
        <w:spacing w:after="40" w:line="240" w:lineRule="auto"/>
        <w:ind w:firstLine="68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Căn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Thông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số</w:t>
      </w:r>
      <w:proofErr w:type="spellEnd"/>
      <w:r>
        <w:rPr>
          <w:i/>
          <w:iCs/>
          <w:sz w:val="28"/>
          <w:szCs w:val="28"/>
        </w:rPr>
        <w:t xml:space="preserve"> 77/2014/TT-BTC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16/6/2014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Bộ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Tài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chính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hướng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dẫn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một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số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điều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Nghị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46/2014/NĐ-CP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15/5/2014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Chính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phủ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quy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</w:t>
      </w:r>
      <w:r>
        <w:rPr>
          <w:i/>
          <w:iCs/>
          <w:sz w:val="28"/>
          <w:szCs w:val="28"/>
        </w:rPr>
        <w:t>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về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thu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tiền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thuê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đất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thuê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mặt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nước</w:t>
      </w:r>
      <w:proofErr w:type="spellEnd"/>
      <w:r>
        <w:rPr>
          <w:i/>
          <w:iCs/>
          <w:sz w:val="28"/>
          <w:szCs w:val="28"/>
        </w:rPr>
        <w:t>;</w:t>
      </w:r>
    </w:p>
    <w:p w:rsidR="00F7211C" w:rsidRDefault="00DA13CB">
      <w:pPr>
        <w:pStyle w:val="NormalWeb"/>
        <w:shd w:val="clear" w:color="auto" w:fill="FFFFFF"/>
        <w:spacing w:after="40" w:line="240" w:lineRule="auto"/>
        <w:ind w:firstLine="68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Thông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36/2014/TT-BTNMT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30/6/2014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Bộ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Tài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nguyên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Môi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chi </w:t>
      </w:r>
      <w:proofErr w:type="spellStart"/>
      <w:r>
        <w:rPr>
          <w:i/>
          <w:sz w:val="28"/>
          <w:szCs w:val="28"/>
        </w:rPr>
        <w:t>tiết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phương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pháp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đất</w:t>
      </w:r>
      <w:proofErr w:type="spellEnd"/>
      <w:r>
        <w:rPr>
          <w:i/>
          <w:sz w:val="28"/>
          <w:szCs w:val="28"/>
        </w:rPr>
        <w:t xml:space="preserve">; </w:t>
      </w:r>
      <w:proofErr w:type="spellStart"/>
      <w:r>
        <w:rPr>
          <w:i/>
          <w:sz w:val="28"/>
          <w:szCs w:val="28"/>
        </w:rPr>
        <w:t>xây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dựng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chỉnh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bảng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đất</w:t>
      </w:r>
      <w:proofErr w:type="spellEnd"/>
      <w:r>
        <w:rPr>
          <w:i/>
          <w:sz w:val="28"/>
          <w:szCs w:val="28"/>
        </w:rPr>
        <w:t xml:space="preserve">;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đất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cụ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vấn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xác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đất</w:t>
      </w:r>
      <w:proofErr w:type="spellEnd"/>
      <w:r>
        <w:rPr>
          <w:i/>
          <w:sz w:val="28"/>
          <w:szCs w:val="28"/>
        </w:rPr>
        <w:t>;</w:t>
      </w:r>
    </w:p>
    <w:p w:rsidR="00F7211C" w:rsidRDefault="00DA13CB">
      <w:pPr>
        <w:shd w:val="clear" w:color="auto" w:fill="FFFFFF"/>
        <w:spacing w:after="40"/>
        <w:ind w:firstLine="680"/>
        <w:jc w:val="both"/>
        <w:rPr>
          <w:i/>
          <w:iCs/>
        </w:rPr>
      </w:pPr>
      <w:proofErr w:type="spellStart"/>
      <w:r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332/2016/TT-BTC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26/12/2016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bổ</w:t>
      </w:r>
      <w:proofErr w:type="spellEnd"/>
      <w:r>
        <w:rPr>
          <w:i/>
        </w:rPr>
        <w:t xml:space="preserve"> sung </w:t>
      </w:r>
      <w:proofErr w:type="spellStart"/>
      <w:r>
        <w:rPr>
          <w:i/>
        </w:rPr>
        <w:t>một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điều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76/2014/TT-BTC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16/6/2014 </w:t>
      </w:r>
      <w:proofErr w:type="spellStart"/>
      <w:r>
        <w:rPr>
          <w:i/>
          <w:iCs/>
        </w:rPr>
        <w:lastRenderedPageBreak/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hướng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dẫn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45/2014/NĐ-CP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15/5/2014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dụng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đất</w:t>
      </w:r>
      <w:proofErr w:type="spellEnd"/>
      <w:r>
        <w:rPr>
          <w:i/>
          <w:iCs/>
        </w:rPr>
        <w:t>;</w:t>
      </w:r>
    </w:p>
    <w:p w:rsidR="00F7211C" w:rsidRDefault="00DA13CB">
      <w:pPr>
        <w:shd w:val="clear" w:color="auto" w:fill="FFFFFF"/>
        <w:spacing w:after="40"/>
        <w:ind w:firstLine="680"/>
        <w:jc w:val="both"/>
        <w:rPr>
          <w:i/>
        </w:rPr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333/2016/TT-BTC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26/12/2016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sửa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đổi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bổ</w:t>
      </w:r>
      <w:proofErr w:type="spellEnd"/>
      <w:r>
        <w:rPr>
          <w:i/>
          <w:iCs/>
        </w:rPr>
        <w:t xml:space="preserve"> sung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77/2014/TT-BTC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16/6/2014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hướng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dẫn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46/2014/NĐ-CP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15/5/2014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</w:t>
      </w:r>
      <w:r>
        <w:rPr>
          <w:i/>
          <w:iCs/>
        </w:rPr>
        <w:t>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thuê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mặt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nước</w:t>
      </w:r>
      <w:proofErr w:type="spellEnd"/>
      <w:r>
        <w:rPr>
          <w:i/>
          <w:iCs/>
        </w:rPr>
        <w:t>;</w:t>
      </w:r>
    </w:p>
    <w:p w:rsidR="00F7211C" w:rsidRDefault="00DA13CB">
      <w:pPr>
        <w:shd w:val="clear" w:color="auto" w:fill="FFFFFF"/>
        <w:spacing w:after="40"/>
        <w:ind w:firstLine="680"/>
        <w:jc w:val="both"/>
        <w:rPr>
          <w:i/>
          <w:iCs/>
        </w:rPr>
      </w:pPr>
      <w:proofErr w:type="spellStart"/>
      <w:r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10/2018/TT-BTC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30/01/2018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bổ</w:t>
      </w:r>
      <w:proofErr w:type="spellEnd"/>
      <w:r>
        <w:rPr>
          <w:i/>
        </w:rPr>
        <w:t xml:space="preserve"> sung </w:t>
      </w:r>
      <w:proofErr w:type="spellStart"/>
      <w:r>
        <w:rPr>
          <w:i/>
        </w:rPr>
        <w:t>một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điều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76/2014/TT-BTC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16/6/2014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hướng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dẫn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45/2014/NĐ-CP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15/</w:t>
      </w:r>
      <w:r>
        <w:rPr>
          <w:i/>
          <w:iCs/>
        </w:rPr>
        <w:t xml:space="preserve">5/2014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dụng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đất</w:t>
      </w:r>
      <w:proofErr w:type="spellEnd"/>
      <w:r>
        <w:rPr>
          <w:i/>
          <w:iCs/>
        </w:rPr>
        <w:t>;</w:t>
      </w:r>
    </w:p>
    <w:p w:rsidR="00F7211C" w:rsidRDefault="00DA13CB">
      <w:pPr>
        <w:shd w:val="clear" w:color="auto" w:fill="FFFFFF"/>
        <w:spacing w:after="40"/>
        <w:ind w:firstLine="680"/>
        <w:jc w:val="both"/>
        <w:rPr>
          <w:i/>
          <w:iCs/>
        </w:rPr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11/2018/TT-BTC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30/01/2018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sửa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đổi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bổ</w:t>
      </w:r>
      <w:proofErr w:type="spellEnd"/>
      <w:r>
        <w:rPr>
          <w:i/>
          <w:iCs/>
        </w:rPr>
        <w:t xml:space="preserve"> sung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77/2014/TT-BTC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16/6/2014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hướng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dẫn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46/201</w:t>
      </w:r>
      <w:r>
        <w:rPr>
          <w:i/>
          <w:iCs/>
        </w:rPr>
        <w:t xml:space="preserve">4/NĐ-CP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15/5/2014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thuê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mặt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nước</w:t>
      </w:r>
      <w:proofErr w:type="spellEnd"/>
      <w:r>
        <w:rPr>
          <w:i/>
          <w:iCs/>
        </w:rPr>
        <w:t>.</w:t>
      </w:r>
    </w:p>
    <w:p w:rsidR="00F7211C" w:rsidRDefault="00DA13CB">
      <w:pPr>
        <w:pStyle w:val="BodyTextIndent2"/>
        <w:spacing w:before="0" w:beforeAutospacing="0" w:after="40" w:afterAutospacing="0"/>
        <w:ind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 xml:space="preserve">Thực hiện ý kiến của Hội đồng nhân dân tỉnh tại văn bản số </w:t>
      </w:r>
      <w:r>
        <w:rPr>
          <w:i/>
          <w:sz w:val="28"/>
          <w:szCs w:val="28"/>
          <w:lang w:val="nl-NL"/>
        </w:rPr>
        <w:t>694</w:t>
      </w:r>
      <w:r>
        <w:rPr>
          <w:i/>
          <w:color w:val="000000"/>
          <w:sz w:val="28"/>
          <w:szCs w:val="28"/>
          <w:lang w:val="nl-NL"/>
        </w:rPr>
        <w:t>/HĐND-KTNS ngày 05/12/2018 về việc thông qua hệ số điều chỉnh đất năm 2019;</w:t>
      </w:r>
    </w:p>
    <w:p w:rsidR="00F7211C" w:rsidRDefault="00DA13CB">
      <w:pPr>
        <w:pStyle w:val="NormalWeb"/>
        <w:shd w:val="clear" w:color="auto" w:fill="FFFFFF"/>
        <w:spacing w:after="40" w:line="240" w:lineRule="auto"/>
        <w:ind w:firstLine="680"/>
        <w:jc w:val="both"/>
        <w:rPr>
          <w:i/>
          <w:iCs/>
          <w:sz w:val="30"/>
          <w:szCs w:val="30"/>
        </w:rPr>
      </w:pPr>
      <w:r>
        <w:rPr>
          <w:i/>
          <w:iCs/>
          <w:sz w:val="28"/>
          <w:szCs w:val="28"/>
        </w:rPr>
        <w:t xml:space="preserve">Theo </w:t>
      </w:r>
      <w:proofErr w:type="spellStart"/>
      <w:r>
        <w:rPr>
          <w:i/>
          <w:iCs/>
          <w:sz w:val="28"/>
          <w:szCs w:val="28"/>
        </w:rPr>
        <w:t>đề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nghị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Giám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đốc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Sở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Tài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chính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tại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Tờ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trình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số</w:t>
      </w:r>
      <w:proofErr w:type="spellEnd"/>
      <w:r>
        <w:rPr>
          <w:i/>
          <w:iCs/>
          <w:sz w:val="28"/>
          <w:szCs w:val="28"/>
        </w:rPr>
        <w:t xml:space="preserve"> 3806/</w:t>
      </w:r>
      <w:proofErr w:type="spellStart"/>
      <w:r>
        <w:rPr>
          <w:i/>
          <w:iCs/>
          <w:sz w:val="28"/>
          <w:szCs w:val="28"/>
        </w:rPr>
        <w:t>TTr</w:t>
      </w:r>
      <w:proofErr w:type="spellEnd"/>
      <w:r>
        <w:rPr>
          <w:i/>
          <w:iCs/>
          <w:sz w:val="28"/>
          <w:szCs w:val="28"/>
        </w:rPr>
        <w:t xml:space="preserve">-STC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22/11/2018</w:t>
      </w:r>
      <w:r>
        <w:rPr>
          <w:i/>
          <w:iCs/>
          <w:sz w:val="30"/>
          <w:szCs w:val="30"/>
        </w:rPr>
        <w:t>.</w:t>
      </w:r>
    </w:p>
    <w:p w:rsidR="00F7211C" w:rsidRDefault="00DA13CB">
      <w:pPr>
        <w:pStyle w:val="NormalWeb"/>
        <w:shd w:val="clear" w:color="auto" w:fill="FFFFFF"/>
        <w:spacing w:after="60" w:line="240" w:lineRule="auto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QUYẾT ĐỊNH</w:t>
      </w:r>
      <w:r>
        <w:rPr>
          <w:b/>
          <w:bCs/>
          <w:sz w:val="30"/>
          <w:szCs w:val="30"/>
        </w:rPr>
        <w:t>:</w:t>
      </w:r>
    </w:p>
    <w:p w:rsidR="00F7211C" w:rsidRDefault="00DA13CB">
      <w:pPr>
        <w:pStyle w:val="NormalWeb"/>
        <w:shd w:val="clear" w:color="auto" w:fill="FFFFFF"/>
        <w:spacing w:after="60" w:line="240" w:lineRule="auto"/>
        <w:ind w:firstLine="68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1. </w:t>
      </w:r>
      <w:proofErr w:type="spellStart"/>
      <w:r>
        <w:rPr>
          <w:bCs/>
          <w:sz w:val="28"/>
          <w:szCs w:val="28"/>
        </w:rPr>
        <w:t>Quy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2019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Long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F7211C" w:rsidRDefault="00DA13CB">
      <w:pPr>
        <w:pStyle w:val="NormalWeb"/>
        <w:shd w:val="clear" w:color="auto" w:fill="FFFFFF"/>
        <w:spacing w:after="60" w:line="24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tượng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áp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dụng</w:t>
      </w:r>
      <w:proofErr w:type="spellEnd"/>
      <w:r>
        <w:rPr>
          <w:b/>
          <w:bCs/>
          <w:sz w:val="28"/>
          <w:szCs w:val="28"/>
        </w:rPr>
        <w:t>:</w:t>
      </w:r>
    </w:p>
    <w:p w:rsidR="00F7211C" w:rsidRDefault="00DA13CB">
      <w:pPr>
        <w:pStyle w:val="NormalWeb"/>
        <w:shd w:val="clear" w:color="auto" w:fill="FFFFFF"/>
        <w:spacing w:after="60" w:line="240" w:lineRule="auto"/>
        <w:ind w:firstLine="680"/>
        <w:jc w:val="both"/>
        <w:rPr>
          <w:iCs/>
          <w:sz w:val="28"/>
          <w:szCs w:val="28"/>
        </w:rPr>
      </w:pPr>
      <w:r>
        <w:rPr>
          <w:sz w:val="28"/>
          <w:szCs w:val="28"/>
        </w:rPr>
        <w:t>a) T</w:t>
      </w:r>
      <w:r>
        <w:rPr>
          <w:sz w:val="28"/>
          <w:szCs w:val="28"/>
        </w:rPr>
        <w:t xml:space="preserve">heo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iCs/>
          <w:sz w:val="28"/>
          <w:szCs w:val="28"/>
        </w:rPr>
        <w:t>Nghị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định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số</w:t>
      </w:r>
      <w:proofErr w:type="spellEnd"/>
      <w:r>
        <w:rPr>
          <w:iCs/>
          <w:sz w:val="28"/>
          <w:szCs w:val="28"/>
        </w:rPr>
        <w:t xml:space="preserve"> 45/2014/NĐ-CP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15/5/2014 </w:t>
      </w:r>
      <w:proofErr w:type="spellStart"/>
      <w:r>
        <w:rPr>
          <w:iCs/>
          <w:sz w:val="28"/>
          <w:szCs w:val="28"/>
        </w:rPr>
        <w:t>của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Chính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phủ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quy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định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proofErr w:type="gramStart"/>
      <w:r>
        <w:rPr>
          <w:iCs/>
          <w:sz w:val="28"/>
          <w:szCs w:val="28"/>
        </w:rPr>
        <w:t>thu</w:t>
      </w:r>
      <w:proofErr w:type="spellEnd"/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tiền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sử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dụng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đất</w:t>
      </w:r>
      <w:proofErr w:type="spellEnd"/>
      <w:r>
        <w:rPr>
          <w:iCs/>
          <w:sz w:val="28"/>
          <w:szCs w:val="28"/>
        </w:rPr>
        <w:t>.</w:t>
      </w:r>
    </w:p>
    <w:p w:rsidR="00F7211C" w:rsidRDefault="00DA13CB">
      <w:pPr>
        <w:pStyle w:val="NormalWeb"/>
        <w:shd w:val="clear" w:color="auto" w:fill="FFFFFF"/>
        <w:spacing w:after="60" w:line="240" w:lineRule="auto"/>
        <w:ind w:firstLine="6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b) Theo </w:t>
      </w:r>
      <w:proofErr w:type="spellStart"/>
      <w:r>
        <w:rPr>
          <w:iCs/>
          <w:sz w:val="28"/>
          <w:szCs w:val="28"/>
        </w:rPr>
        <w:t>quy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định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tại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khoản</w:t>
      </w:r>
      <w:proofErr w:type="spellEnd"/>
      <w:r>
        <w:rPr>
          <w:iCs/>
          <w:sz w:val="28"/>
          <w:szCs w:val="28"/>
        </w:rPr>
        <w:t xml:space="preserve"> 5 </w:t>
      </w:r>
      <w:proofErr w:type="spellStart"/>
      <w:r>
        <w:rPr>
          <w:iCs/>
          <w:sz w:val="28"/>
          <w:szCs w:val="28"/>
        </w:rPr>
        <w:t>Điều</w:t>
      </w:r>
      <w:proofErr w:type="spellEnd"/>
      <w:r>
        <w:rPr>
          <w:iCs/>
          <w:sz w:val="28"/>
          <w:szCs w:val="28"/>
        </w:rPr>
        <w:t xml:space="preserve"> 4 </w:t>
      </w:r>
      <w:proofErr w:type="spellStart"/>
      <w:r>
        <w:rPr>
          <w:iCs/>
          <w:sz w:val="28"/>
          <w:szCs w:val="28"/>
        </w:rPr>
        <w:t>Nghị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định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số</w:t>
      </w:r>
      <w:proofErr w:type="spellEnd"/>
      <w:r>
        <w:rPr>
          <w:iCs/>
          <w:sz w:val="28"/>
          <w:szCs w:val="28"/>
        </w:rPr>
        <w:t xml:space="preserve"> 46/2014/NĐ-CP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15/5/2014 </w:t>
      </w:r>
      <w:proofErr w:type="spellStart"/>
      <w:r>
        <w:rPr>
          <w:iCs/>
          <w:sz w:val="28"/>
          <w:szCs w:val="28"/>
        </w:rPr>
        <w:t>của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Chính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phủ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quy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định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thu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tiền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thuê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đất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thuê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mặt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nước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đã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được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sửa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đổi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tại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Điều</w:t>
      </w:r>
      <w:proofErr w:type="spellEnd"/>
      <w:r>
        <w:rPr>
          <w:iCs/>
          <w:sz w:val="28"/>
          <w:szCs w:val="28"/>
        </w:rPr>
        <w:t xml:space="preserve"> 3 </w:t>
      </w:r>
      <w:proofErr w:type="spellStart"/>
      <w:r>
        <w:rPr>
          <w:iCs/>
          <w:sz w:val="28"/>
          <w:szCs w:val="28"/>
        </w:rPr>
        <w:t>Nghị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định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số</w:t>
      </w:r>
      <w:proofErr w:type="spellEnd"/>
      <w:r>
        <w:rPr>
          <w:iCs/>
          <w:sz w:val="28"/>
          <w:szCs w:val="28"/>
        </w:rPr>
        <w:t xml:space="preserve"> 123/2017/NĐ-CP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14/11/2017 </w:t>
      </w:r>
      <w:proofErr w:type="spellStart"/>
      <w:r>
        <w:rPr>
          <w:iCs/>
          <w:sz w:val="28"/>
          <w:szCs w:val="28"/>
        </w:rPr>
        <w:t>của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Chính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phủ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sửa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đổi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bổ</w:t>
      </w:r>
      <w:proofErr w:type="spellEnd"/>
      <w:r>
        <w:rPr>
          <w:iCs/>
          <w:sz w:val="28"/>
          <w:szCs w:val="28"/>
        </w:rPr>
        <w:t xml:space="preserve"> sung </w:t>
      </w:r>
      <w:proofErr w:type="spellStart"/>
      <w:r>
        <w:rPr>
          <w:iCs/>
          <w:sz w:val="28"/>
          <w:szCs w:val="28"/>
        </w:rPr>
        <w:t>một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số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điều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của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các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Nghị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định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quy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định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thu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tiền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sử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dụng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đất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thu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tiền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thuê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đất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thuê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mặt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nước</w:t>
      </w:r>
      <w:proofErr w:type="spellEnd"/>
      <w:r>
        <w:rPr>
          <w:iCs/>
          <w:sz w:val="28"/>
          <w:szCs w:val="28"/>
        </w:rPr>
        <w:t>.</w:t>
      </w:r>
    </w:p>
    <w:p w:rsidR="00F7211C" w:rsidRDefault="00DA13CB">
      <w:pPr>
        <w:shd w:val="clear" w:color="auto" w:fill="FFFFFF"/>
        <w:spacing w:after="60"/>
        <w:ind w:firstLine="680"/>
        <w:jc w:val="both"/>
        <w:rPr>
          <w:iCs/>
        </w:rPr>
      </w:pPr>
      <w:r>
        <w:rPr>
          <w:iCs/>
        </w:rPr>
        <w:t xml:space="preserve">c) </w:t>
      </w:r>
      <w:r>
        <w:t xml:space="preserve">Theo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a, </w:t>
      </w:r>
      <w:proofErr w:type="spellStart"/>
      <w:r>
        <w:t>khoản</w:t>
      </w:r>
      <w:proofErr w:type="spellEnd"/>
      <w:r>
        <w:t xml:space="preserve"> 2 </w:t>
      </w:r>
      <w:proofErr w:type="spellStart"/>
      <w:r>
        <w:t>Điều</w:t>
      </w:r>
      <w:proofErr w:type="spellEnd"/>
      <w:r>
        <w:t xml:space="preserve"> 18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44/2014/NĐ-CP </w:t>
      </w:r>
      <w:proofErr w:type="spellStart"/>
      <w:r>
        <w:t>ngày</w:t>
      </w:r>
      <w:proofErr w:type="spellEnd"/>
      <w:r>
        <w:t xml:space="preserve"> 15/5/2014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4 </w:t>
      </w:r>
      <w:proofErr w:type="spellStart"/>
      <w:r>
        <w:t>Điều</w:t>
      </w:r>
      <w:proofErr w:type="spellEnd"/>
      <w:r>
        <w:t xml:space="preserve"> 3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01/2017/NĐ-CP </w:t>
      </w:r>
      <w:proofErr w:type="spellStart"/>
      <w:r>
        <w:t>ngày</w:t>
      </w:r>
      <w:proofErr w:type="spellEnd"/>
      <w:r>
        <w:t xml:space="preserve"> 06/01/2017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rPr>
          <w:iCs/>
          <w:color w:val="000000"/>
        </w:rPr>
        <w:t>.</w:t>
      </w:r>
    </w:p>
    <w:p w:rsidR="00F7211C" w:rsidRDefault="00DA13CB">
      <w:pPr>
        <w:shd w:val="clear" w:color="auto" w:fill="FFFFFF"/>
        <w:spacing w:after="60"/>
        <w:ind w:firstLine="680"/>
        <w:jc w:val="both"/>
      </w:pPr>
      <w:r>
        <w:rPr>
          <w:b/>
        </w:rPr>
        <w:t>2.</w:t>
      </w:r>
      <w:r>
        <w:t xml:space="preserve"> </w:t>
      </w:r>
      <w:proofErr w:type="spellStart"/>
      <w:r>
        <w:rPr>
          <w:b/>
        </w:rPr>
        <w:t>Hệ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đất</w:t>
      </w:r>
      <w:proofErr w:type="spellEnd"/>
      <w:r>
        <w:rPr>
          <w:b/>
        </w:rPr>
        <w:t>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2880"/>
        <w:gridCol w:w="5400"/>
      </w:tblGrid>
      <w:tr w:rsidR="00F7211C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1C" w:rsidRDefault="00DA13C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1C" w:rsidRDefault="00DA13C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Hệ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điều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1C" w:rsidRDefault="00DA13CB">
            <w:pPr>
              <w:spacing w:before="120" w:after="120"/>
              <w:ind w:left="-17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Địa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bàn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áp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</w:p>
        </w:tc>
      </w:tr>
      <w:tr w:rsidR="00F7211C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1C" w:rsidRDefault="00DA1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1C" w:rsidRDefault="00DA1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1C" w:rsidRDefault="00DA13CB">
            <w:pPr>
              <w:spacing w:before="120" w:after="120"/>
              <w:ind w:left="-1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An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Lức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Giuộc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Hòa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F7211C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1C" w:rsidRDefault="00DA1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1C" w:rsidRDefault="00DA1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1C" w:rsidRDefault="00DA13CB">
            <w:pPr>
              <w:spacing w:before="120" w:after="120"/>
              <w:ind w:left="-1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Thừa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Trụ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Huệ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Thạnh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Vĩnh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F7211C" w:rsidRDefault="00DA13CB">
      <w:pPr>
        <w:shd w:val="clear" w:color="auto" w:fill="FFFFFF"/>
        <w:spacing w:before="60" w:after="60"/>
        <w:ind w:firstLine="680"/>
        <w:jc w:val="both"/>
      </w:pPr>
      <w:proofErr w:type="spellStart"/>
      <w:r>
        <w:lastRenderedPageBreak/>
        <w:t>Riêng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</w:t>
      </w:r>
      <w:proofErr w:type="gramStart"/>
      <w:r>
        <w:t>,0</w:t>
      </w:r>
      <w:proofErr w:type="gramEnd"/>
      <w:r>
        <w:t>.</w:t>
      </w:r>
    </w:p>
    <w:p w:rsidR="00F7211C" w:rsidRDefault="00DA13CB">
      <w:pPr>
        <w:pStyle w:val="NormalWeb"/>
        <w:shd w:val="clear" w:color="auto" w:fill="FFFFFF"/>
        <w:spacing w:after="60" w:line="240" w:lineRule="auto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>.</w:t>
      </w:r>
    </w:p>
    <w:p w:rsidR="00F7211C" w:rsidRDefault="00DA13CB">
      <w:pPr>
        <w:pStyle w:val="NormalWeb"/>
        <w:shd w:val="clear" w:color="auto" w:fill="FFFFFF"/>
        <w:spacing w:after="60" w:line="240" w:lineRule="auto"/>
        <w:ind w:firstLine="68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01/01/20</w:t>
      </w:r>
      <w:r>
        <w:rPr>
          <w:sz w:val="28"/>
          <w:szCs w:val="28"/>
        </w:rPr>
        <w:t xml:space="preserve">19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31/12/2019.</w:t>
      </w:r>
    </w:p>
    <w:p w:rsidR="00F7211C" w:rsidRDefault="00DA13CB">
      <w:pPr>
        <w:shd w:val="clear" w:color="auto" w:fill="FFFFFF"/>
        <w:spacing w:after="60"/>
        <w:ind w:firstLine="680"/>
        <w:jc w:val="both"/>
      </w:pPr>
      <w:proofErr w:type="spellStart"/>
      <w:r>
        <w:t>Giao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,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đôn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F7211C" w:rsidRDefault="00DA13CB">
      <w:pPr>
        <w:pStyle w:val="NormalWeb"/>
        <w:shd w:val="clear" w:color="auto" w:fill="FFFFFF"/>
        <w:spacing w:after="60" w:line="240" w:lineRule="auto"/>
        <w:ind w:firstLine="68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tịch</w:t>
      </w:r>
      <w:proofErr w:type="spellEnd"/>
      <w:proofErr w:type="gramEnd"/>
      <w:r>
        <w:rPr>
          <w:sz w:val="28"/>
          <w:szCs w:val="28"/>
        </w:rPr>
        <w:t xml:space="preserve"> UBND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>./.</w:t>
      </w:r>
    </w:p>
    <w:p w:rsidR="00F7211C" w:rsidRDefault="00DA13CB">
      <w:pPr>
        <w:pStyle w:val="NormalWeb"/>
        <w:shd w:val="clear" w:color="auto" w:fill="FFFFFF"/>
        <w:spacing w:line="240" w:lineRule="auto"/>
        <w:ind w:firstLine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525"/>
      </w:tblGrid>
      <w:tr w:rsidR="00F7211C">
        <w:trPr>
          <w:trHeight w:val="540"/>
        </w:trPr>
        <w:tc>
          <w:tcPr>
            <w:tcW w:w="46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1C" w:rsidRDefault="00DA13CB">
            <w:pPr>
              <w:widowControl w:val="0"/>
              <w:tabs>
                <w:tab w:val="center" w:pos="6322"/>
              </w:tabs>
              <w:spacing w:line="240" w:lineRule="exact"/>
              <w:rPr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sz w:val="24"/>
                <w:szCs w:val="24"/>
              </w:rPr>
              <w:t>Nơi</w:t>
            </w:r>
            <w:proofErr w:type="spellEnd"/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4"/>
                <w:szCs w:val="24"/>
              </w:rPr>
              <w:t>nhận</w:t>
            </w:r>
            <w:proofErr w:type="spellEnd"/>
            <w:r>
              <w:rPr>
                <w:b/>
                <w:i/>
                <w:iCs/>
                <w:sz w:val="24"/>
                <w:szCs w:val="24"/>
              </w:rPr>
              <w:t>:</w:t>
            </w:r>
          </w:p>
          <w:p w:rsidR="00F7211C" w:rsidRDefault="00DA13CB">
            <w:pPr>
              <w:pStyle w:val="Heading4"/>
              <w:keepNext w:val="0"/>
              <w:widowControl w:val="0"/>
              <w:tabs>
                <w:tab w:val="center" w:pos="7513"/>
              </w:tabs>
              <w:spacing w:line="240" w:lineRule="exact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Như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Điều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3; </w:t>
            </w:r>
          </w:p>
          <w:p w:rsidR="00F7211C" w:rsidRDefault="00DA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phủ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 xml:space="preserve"> KSTTHC);</w:t>
            </w:r>
          </w:p>
          <w:p w:rsidR="00F7211C" w:rsidRDefault="00DA13CB">
            <w:pPr>
              <w:pStyle w:val="Heading4"/>
              <w:keepNext w:val="0"/>
              <w:widowControl w:val="0"/>
              <w:tabs>
                <w:tab w:val="center" w:pos="7371"/>
              </w:tabs>
              <w:spacing w:line="240" w:lineRule="exact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Tài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chính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:rsidR="00F7211C" w:rsidRDefault="00DA13CB">
            <w:pPr>
              <w:widowControl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nguyên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Môi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F7211C" w:rsidRDefault="00DA13CB">
            <w:pPr>
              <w:pStyle w:val="Heading4"/>
              <w:keepNext w:val="0"/>
              <w:widowControl w:val="0"/>
              <w:tabs>
                <w:tab w:val="center" w:pos="7513"/>
              </w:tabs>
              <w:spacing w:line="240" w:lineRule="exact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Tư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pháp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Cục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kiểm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tra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VBQPPL);</w:t>
            </w:r>
          </w:p>
          <w:p w:rsidR="00F7211C" w:rsidRDefault="00DA13CB">
            <w:pPr>
              <w:pStyle w:val="Heading4"/>
              <w:keepNext w:val="0"/>
              <w:widowControl w:val="0"/>
              <w:tabs>
                <w:tab w:val="center" w:pos="7513"/>
              </w:tabs>
              <w:spacing w:line="240" w:lineRule="exact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TT.TU, TT.HĐND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tỉnh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:rsidR="00F7211C" w:rsidRDefault="00DA13CB">
            <w:pPr>
              <w:pStyle w:val="Heading4"/>
              <w:keepNext w:val="0"/>
              <w:widowControl w:val="0"/>
              <w:tabs>
                <w:tab w:val="center" w:pos="7513"/>
              </w:tabs>
              <w:spacing w:line="240" w:lineRule="exact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UB MTTQVN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tỉnh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Đoàn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thể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:rsidR="00F7211C" w:rsidRDefault="00DA13CB">
            <w:pPr>
              <w:pStyle w:val="Heading4"/>
              <w:keepNext w:val="0"/>
              <w:widowControl w:val="0"/>
              <w:tabs>
                <w:tab w:val="center" w:pos="7513"/>
              </w:tabs>
              <w:spacing w:line="24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CT,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PCT UBND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tỉnh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:rsidR="00F7211C" w:rsidRDefault="00DA13CB">
            <w:pPr>
              <w:widowControl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tin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F7211C" w:rsidRDefault="00DA13CB">
            <w:pPr>
              <w:widowControl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Trung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 tin ho</w:t>
            </w:r>
            <w:r>
              <w:rPr>
                <w:sz w:val="22"/>
                <w:szCs w:val="22"/>
                <w:lang w:val="vi-VN"/>
              </w:rPr>
              <w:t>̣c tỉnh</w:t>
            </w:r>
            <w:r>
              <w:rPr>
                <w:sz w:val="22"/>
                <w:szCs w:val="22"/>
              </w:rPr>
              <w:t>;</w:t>
            </w:r>
          </w:p>
          <w:p w:rsidR="00F7211C" w:rsidRDefault="00DA13CB">
            <w:pPr>
              <w:widowControl w:val="0"/>
              <w:tabs>
                <w:tab w:val="center" w:pos="7371"/>
              </w:tabs>
              <w:spacing w:line="240" w:lineRule="exac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>: KT; THKSTTHC;</w:t>
            </w:r>
          </w:p>
          <w:p w:rsidR="00F7211C" w:rsidRDefault="00DA13CB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>: VT, Quoc.</w:t>
            </w:r>
          </w:p>
        </w:tc>
        <w:tc>
          <w:tcPr>
            <w:tcW w:w="47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1C" w:rsidRDefault="00DA13CB">
            <w:pPr>
              <w:pStyle w:val="NormalWeb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TM. ỦY BAN NHÂN DÂN</w:t>
            </w:r>
          </w:p>
          <w:p w:rsidR="00F7211C" w:rsidRDefault="00DA13CB">
            <w:pPr>
              <w:pStyle w:val="NormalWeb"/>
              <w:spacing w:line="264" w:lineRule="auto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CHỦ TỊCH</w:t>
            </w:r>
            <w:r>
              <w:rPr>
                <w:b/>
                <w:bCs/>
                <w:sz w:val="28"/>
                <w:szCs w:val="28"/>
              </w:rPr>
              <w:br/>
            </w:r>
            <w:r w:rsidR="005D72EC">
              <w:rPr>
                <w:sz w:val="28"/>
              </w:rPr>
              <w:t>(</w:t>
            </w:r>
            <w:proofErr w:type="spellStart"/>
            <w:r w:rsidR="005D72EC">
              <w:rPr>
                <w:sz w:val="28"/>
              </w:rPr>
              <w:t>đã</w:t>
            </w:r>
            <w:proofErr w:type="spellEnd"/>
            <w:r w:rsidR="005D72EC">
              <w:rPr>
                <w:sz w:val="28"/>
              </w:rPr>
              <w:t xml:space="preserve"> </w:t>
            </w:r>
            <w:proofErr w:type="spellStart"/>
            <w:r w:rsidR="005D72EC">
              <w:rPr>
                <w:sz w:val="28"/>
              </w:rPr>
              <w:t>ký</w:t>
            </w:r>
            <w:proofErr w:type="spellEnd"/>
            <w:r w:rsidR="005D72EC">
              <w:rPr>
                <w:sz w:val="28"/>
              </w:rPr>
              <w:t>)</w:t>
            </w:r>
          </w:p>
          <w:p w:rsidR="005D72EC" w:rsidRDefault="005D72EC">
            <w:pPr>
              <w:pStyle w:val="NormalWeb"/>
              <w:spacing w:line="264" w:lineRule="auto"/>
              <w:jc w:val="center"/>
              <w:rPr>
                <w:sz w:val="28"/>
              </w:rPr>
            </w:pPr>
          </w:p>
          <w:p w:rsidR="005D72EC" w:rsidRDefault="005D72EC">
            <w:pPr>
              <w:pStyle w:val="NormalWeb"/>
              <w:spacing w:line="264" w:lineRule="auto"/>
              <w:jc w:val="center"/>
              <w:rPr>
                <w:sz w:val="28"/>
              </w:rPr>
            </w:pPr>
          </w:p>
          <w:p w:rsidR="005D72EC" w:rsidRPr="005D72EC" w:rsidRDefault="005D72EC">
            <w:pPr>
              <w:pStyle w:val="NormalWeb"/>
              <w:spacing w:line="264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Trần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Văn</w:t>
            </w:r>
            <w:proofErr w:type="spellEnd"/>
            <w:r>
              <w:rPr>
                <w:b/>
                <w:sz w:val="28"/>
              </w:rPr>
              <w:t xml:space="preserve"> Cần</w:t>
            </w:r>
            <w:bookmarkStart w:id="0" w:name="_GoBack"/>
            <w:bookmarkEnd w:id="0"/>
          </w:p>
        </w:tc>
      </w:tr>
    </w:tbl>
    <w:p w:rsidR="00F7211C" w:rsidRDefault="00DA13CB">
      <w:pPr>
        <w:tabs>
          <w:tab w:val="left" w:pos="2529"/>
        </w:tabs>
      </w:pPr>
      <w:r>
        <w:tab/>
      </w:r>
    </w:p>
    <w:sectPr w:rsidR="00F7211C">
      <w:footerReference w:type="default" r:id="rId7"/>
      <w:pgSz w:w="11907" w:h="16840"/>
      <w:pgMar w:top="1077" w:right="1134" w:bottom="1134" w:left="1701" w:header="72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CB" w:rsidRDefault="00DA13CB">
      <w:r>
        <w:separator/>
      </w:r>
    </w:p>
  </w:endnote>
  <w:endnote w:type="continuationSeparator" w:id="0">
    <w:p w:rsidR="00DA13CB" w:rsidRDefault="00DA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1C" w:rsidRDefault="00F7211C">
    <w:pPr>
      <w:pStyle w:val="Footer"/>
      <w:jc w:val="right"/>
    </w:pPr>
  </w:p>
  <w:p w:rsidR="00F7211C" w:rsidRDefault="00DA13C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72EC">
      <w:rPr>
        <w:noProof/>
      </w:rPr>
      <w:t>3</w:t>
    </w:r>
    <w:r>
      <w:fldChar w:fldCharType="end"/>
    </w:r>
  </w:p>
  <w:p w:rsidR="00F7211C" w:rsidRDefault="00F7211C">
    <w:pPr>
      <w:pStyle w:val="Footer"/>
      <w:jc w:val="right"/>
    </w:pPr>
  </w:p>
  <w:p w:rsidR="00F7211C" w:rsidRDefault="00F72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CB" w:rsidRDefault="00DA13CB">
      <w:r>
        <w:separator/>
      </w:r>
    </w:p>
  </w:footnote>
  <w:footnote w:type="continuationSeparator" w:id="0">
    <w:p w:rsidR="00DA13CB" w:rsidRDefault="00DA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624"/>
    <w:multiLevelType w:val="hybridMultilevel"/>
    <w:tmpl w:val="7EE6C45A"/>
    <w:lvl w:ilvl="0" w:tplc="37ECBD6A">
      <w:start w:val="2"/>
      <w:numFmt w:val="bullet"/>
      <w:lvlText w:val="-"/>
      <w:lvlJc w:val="left"/>
      <w:pPr>
        <w:ind w:left="1069" w:hanging="359"/>
      </w:pPr>
      <w:rPr>
        <w:rFonts w:ascii="Times New Roman" w:eastAsia="Times New Roman" w:hAnsi="Times New Roman"/>
      </w:rPr>
    </w:lvl>
    <w:lvl w:ilvl="1" w:tplc="3ACAD0D0">
      <w:start w:val="1"/>
      <w:numFmt w:val="bullet"/>
      <w:lvlText w:val="o"/>
      <w:lvlJc w:val="left"/>
      <w:pPr>
        <w:ind w:left="1789" w:hanging="359"/>
      </w:pPr>
      <w:rPr>
        <w:rFonts w:ascii="Courier New" w:hAnsi="Courier New"/>
      </w:rPr>
    </w:lvl>
    <w:lvl w:ilvl="2" w:tplc="72EA0D5E">
      <w:start w:val="1"/>
      <w:numFmt w:val="bullet"/>
      <w:lvlText w:val=""/>
      <w:lvlJc w:val="left"/>
      <w:pPr>
        <w:ind w:left="2509" w:hanging="359"/>
      </w:pPr>
      <w:rPr>
        <w:rFonts w:ascii="Wingdings" w:hAnsi="Wingdings"/>
      </w:rPr>
    </w:lvl>
    <w:lvl w:ilvl="3" w:tplc="4BE61C36">
      <w:start w:val="1"/>
      <w:numFmt w:val="bullet"/>
      <w:lvlText w:val=""/>
      <w:lvlJc w:val="left"/>
      <w:pPr>
        <w:ind w:left="3229" w:hanging="359"/>
      </w:pPr>
      <w:rPr>
        <w:rFonts w:ascii="Symbol" w:hAnsi="Symbol"/>
      </w:rPr>
    </w:lvl>
    <w:lvl w:ilvl="4" w:tplc="95E63F74">
      <w:start w:val="1"/>
      <w:numFmt w:val="bullet"/>
      <w:lvlText w:val="o"/>
      <w:lvlJc w:val="left"/>
      <w:pPr>
        <w:ind w:left="3949" w:hanging="359"/>
      </w:pPr>
      <w:rPr>
        <w:rFonts w:ascii="Courier New" w:hAnsi="Courier New"/>
      </w:rPr>
    </w:lvl>
    <w:lvl w:ilvl="5" w:tplc="D4402310">
      <w:start w:val="1"/>
      <w:numFmt w:val="bullet"/>
      <w:lvlText w:val=""/>
      <w:lvlJc w:val="left"/>
      <w:pPr>
        <w:ind w:left="4669" w:hanging="359"/>
      </w:pPr>
      <w:rPr>
        <w:rFonts w:ascii="Wingdings" w:hAnsi="Wingdings"/>
      </w:rPr>
    </w:lvl>
    <w:lvl w:ilvl="6" w:tplc="A066DD46">
      <w:start w:val="1"/>
      <w:numFmt w:val="bullet"/>
      <w:lvlText w:val=""/>
      <w:lvlJc w:val="left"/>
      <w:pPr>
        <w:ind w:left="5389" w:hanging="359"/>
      </w:pPr>
      <w:rPr>
        <w:rFonts w:ascii="Symbol" w:hAnsi="Symbol"/>
      </w:rPr>
    </w:lvl>
    <w:lvl w:ilvl="7" w:tplc="4C9C9652">
      <w:start w:val="1"/>
      <w:numFmt w:val="bullet"/>
      <w:lvlText w:val="o"/>
      <w:lvlJc w:val="left"/>
      <w:pPr>
        <w:ind w:left="6109" w:hanging="359"/>
      </w:pPr>
      <w:rPr>
        <w:rFonts w:ascii="Courier New" w:hAnsi="Courier New"/>
      </w:rPr>
    </w:lvl>
    <w:lvl w:ilvl="8" w:tplc="449A424E">
      <w:start w:val="1"/>
      <w:numFmt w:val="bullet"/>
      <w:lvlText w:val=""/>
      <w:lvlJc w:val="left"/>
      <w:pPr>
        <w:ind w:left="6829" w:hanging="359"/>
      </w:pPr>
      <w:rPr>
        <w:rFonts w:ascii="Wingdings" w:hAnsi="Wingdings"/>
      </w:rPr>
    </w:lvl>
  </w:abstractNum>
  <w:abstractNum w:abstractNumId="1" w15:restartNumberingAfterBreak="0">
    <w:nsid w:val="10AE1367"/>
    <w:multiLevelType w:val="hybridMultilevel"/>
    <w:tmpl w:val="221E3D68"/>
    <w:lvl w:ilvl="0" w:tplc="2098C12A">
      <w:numFmt w:val="bullet"/>
      <w:lvlText w:val="-"/>
      <w:lvlJc w:val="left"/>
      <w:pPr>
        <w:tabs>
          <w:tab w:val="left" w:pos="1080"/>
        </w:tabs>
        <w:ind w:left="1080" w:hanging="359"/>
      </w:pPr>
      <w:rPr>
        <w:rFonts w:ascii="Times New Roman" w:eastAsia="Times New Roman" w:hAnsi="Times New Roman"/>
      </w:rPr>
    </w:lvl>
    <w:lvl w:ilvl="1" w:tplc="23AAA034">
      <w:start w:val="1"/>
      <w:numFmt w:val="bullet"/>
      <w:lvlText w:val="o"/>
      <w:lvlJc w:val="left"/>
      <w:pPr>
        <w:tabs>
          <w:tab w:val="left" w:pos="1800"/>
        </w:tabs>
        <w:ind w:left="1800" w:hanging="359"/>
      </w:pPr>
      <w:rPr>
        <w:rFonts w:ascii="Courier New" w:hAnsi="Courier New"/>
      </w:rPr>
    </w:lvl>
    <w:lvl w:ilvl="2" w:tplc="83EEDDB4">
      <w:start w:val="1"/>
      <w:numFmt w:val="bullet"/>
      <w:lvlText w:val=""/>
      <w:lvlJc w:val="left"/>
      <w:pPr>
        <w:tabs>
          <w:tab w:val="left" w:pos="2520"/>
        </w:tabs>
        <w:ind w:left="2520" w:hanging="359"/>
      </w:pPr>
      <w:rPr>
        <w:rFonts w:ascii="Wingdings" w:hAnsi="Wingdings"/>
      </w:rPr>
    </w:lvl>
    <w:lvl w:ilvl="3" w:tplc="F9C81A06">
      <w:start w:val="1"/>
      <w:numFmt w:val="bullet"/>
      <w:lvlText w:val=""/>
      <w:lvlJc w:val="left"/>
      <w:pPr>
        <w:tabs>
          <w:tab w:val="left" w:pos="3240"/>
        </w:tabs>
        <w:ind w:left="3240" w:hanging="359"/>
      </w:pPr>
      <w:rPr>
        <w:rFonts w:ascii="Symbol" w:hAnsi="Symbol"/>
      </w:rPr>
    </w:lvl>
    <w:lvl w:ilvl="4" w:tplc="BAE218B6">
      <w:start w:val="1"/>
      <w:numFmt w:val="bullet"/>
      <w:lvlText w:val="o"/>
      <w:lvlJc w:val="left"/>
      <w:pPr>
        <w:tabs>
          <w:tab w:val="left" w:pos="3960"/>
        </w:tabs>
        <w:ind w:left="3960" w:hanging="359"/>
      </w:pPr>
      <w:rPr>
        <w:rFonts w:ascii="Courier New" w:hAnsi="Courier New"/>
      </w:rPr>
    </w:lvl>
    <w:lvl w:ilvl="5" w:tplc="73DC5FE0">
      <w:start w:val="1"/>
      <w:numFmt w:val="bullet"/>
      <w:lvlText w:val=""/>
      <w:lvlJc w:val="left"/>
      <w:pPr>
        <w:tabs>
          <w:tab w:val="left" w:pos="4680"/>
        </w:tabs>
        <w:ind w:left="4680" w:hanging="359"/>
      </w:pPr>
      <w:rPr>
        <w:rFonts w:ascii="Wingdings" w:hAnsi="Wingdings"/>
      </w:rPr>
    </w:lvl>
    <w:lvl w:ilvl="6" w:tplc="70EEEB74">
      <w:start w:val="1"/>
      <w:numFmt w:val="bullet"/>
      <w:lvlText w:val=""/>
      <w:lvlJc w:val="left"/>
      <w:pPr>
        <w:tabs>
          <w:tab w:val="left" w:pos="5400"/>
        </w:tabs>
        <w:ind w:left="5400" w:hanging="359"/>
      </w:pPr>
      <w:rPr>
        <w:rFonts w:ascii="Symbol" w:hAnsi="Symbol"/>
      </w:rPr>
    </w:lvl>
    <w:lvl w:ilvl="7" w:tplc="54C6AB66">
      <w:start w:val="1"/>
      <w:numFmt w:val="bullet"/>
      <w:lvlText w:val="o"/>
      <w:lvlJc w:val="left"/>
      <w:pPr>
        <w:tabs>
          <w:tab w:val="left" w:pos="6120"/>
        </w:tabs>
        <w:ind w:left="6120" w:hanging="359"/>
      </w:pPr>
      <w:rPr>
        <w:rFonts w:ascii="Courier New" w:hAnsi="Courier New"/>
      </w:rPr>
    </w:lvl>
    <w:lvl w:ilvl="8" w:tplc="F9305F26">
      <w:start w:val="1"/>
      <w:numFmt w:val="bullet"/>
      <w:lvlText w:val=""/>
      <w:lvlJc w:val="left"/>
      <w:pPr>
        <w:tabs>
          <w:tab w:val="left" w:pos="6840"/>
        </w:tabs>
        <w:ind w:left="6840" w:hanging="359"/>
      </w:pPr>
      <w:rPr>
        <w:rFonts w:ascii="Wingdings" w:hAnsi="Wingdings"/>
      </w:rPr>
    </w:lvl>
  </w:abstractNum>
  <w:abstractNum w:abstractNumId="2" w15:restartNumberingAfterBreak="0">
    <w:nsid w:val="657C1185"/>
    <w:multiLevelType w:val="hybridMultilevel"/>
    <w:tmpl w:val="C0CCF448"/>
    <w:lvl w:ilvl="0" w:tplc="285E135E">
      <w:start w:val="2"/>
      <w:numFmt w:val="bullet"/>
      <w:lvlText w:val="-"/>
      <w:lvlJc w:val="left"/>
      <w:pPr>
        <w:ind w:left="1215" w:hanging="359"/>
      </w:pPr>
      <w:rPr>
        <w:rFonts w:ascii="Times New Roman" w:eastAsia="Times New Roman" w:hAnsi="Times New Roman"/>
      </w:rPr>
    </w:lvl>
    <w:lvl w:ilvl="1" w:tplc="623C06A6">
      <w:start w:val="1"/>
      <w:numFmt w:val="bullet"/>
      <w:lvlText w:val="o"/>
      <w:lvlJc w:val="left"/>
      <w:pPr>
        <w:ind w:left="1935" w:hanging="359"/>
      </w:pPr>
      <w:rPr>
        <w:rFonts w:ascii="Courier New" w:hAnsi="Courier New"/>
      </w:rPr>
    </w:lvl>
    <w:lvl w:ilvl="2" w:tplc="5D5E48C0">
      <w:start w:val="1"/>
      <w:numFmt w:val="bullet"/>
      <w:lvlText w:val=""/>
      <w:lvlJc w:val="left"/>
      <w:pPr>
        <w:ind w:left="2655" w:hanging="359"/>
      </w:pPr>
      <w:rPr>
        <w:rFonts w:ascii="Wingdings" w:hAnsi="Wingdings"/>
      </w:rPr>
    </w:lvl>
    <w:lvl w:ilvl="3" w:tplc="5F407ECA">
      <w:start w:val="1"/>
      <w:numFmt w:val="bullet"/>
      <w:lvlText w:val=""/>
      <w:lvlJc w:val="left"/>
      <w:pPr>
        <w:ind w:left="3375" w:hanging="359"/>
      </w:pPr>
      <w:rPr>
        <w:rFonts w:ascii="Symbol" w:hAnsi="Symbol"/>
      </w:rPr>
    </w:lvl>
    <w:lvl w:ilvl="4" w:tplc="9402ABB8">
      <w:start w:val="1"/>
      <w:numFmt w:val="bullet"/>
      <w:lvlText w:val="o"/>
      <w:lvlJc w:val="left"/>
      <w:pPr>
        <w:ind w:left="4095" w:hanging="359"/>
      </w:pPr>
      <w:rPr>
        <w:rFonts w:ascii="Courier New" w:hAnsi="Courier New"/>
      </w:rPr>
    </w:lvl>
    <w:lvl w:ilvl="5" w:tplc="66E2659E">
      <w:start w:val="1"/>
      <w:numFmt w:val="bullet"/>
      <w:lvlText w:val=""/>
      <w:lvlJc w:val="left"/>
      <w:pPr>
        <w:ind w:left="4815" w:hanging="359"/>
      </w:pPr>
      <w:rPr>
        <w:rFonts w:ascii="Wingdings" w:hAnsi="Wingdings"/>
      </w:rPr>
    </w:lvl>
    <w:lvl w:ilvl="6" w:tplc="D794C13E">
      <w:start w:val="1"/>
      <w:numFmt w:val="bullet"/>
      <w:lvlText w:val=""/>
      <w:lvlJc w:val="left"/>
      <w:pPr>
        <w:ind w:left="5535" w:hanging="359"/>
      </w:pPr>
      <w:rPr>
        <w:rFonts w:ascii="Symbol" w:hAnsi="Symbol"/>
      </w:rPr>
    </w:lvl>
    <w:lvl w:ilvl="7" w:tplc="FB8258CA">
      <w:start w:val="1"/>
      <w:numFmt w:val="bullet"/>
      <w:lvlText w:val="o"/>
      <w:lvlJc w:val="left"/>
      <w:pPr>
        <w:ind w:left="6255" w:hanging="359"/>
      </w:pPr>
      <w:rPr>
        <w:rFonts w:ascii="Courier New" w:hAnsi="Courier New"/>
      </w:rPr>
    </w:lvl>
    <w:lvl w:ilvl="8" w:tplc="A2D67280">
      <w:start w:val="1"/>
      <w:numFmt w:val="bullet"/>
      <w:lvlText w:val=""/>
      <w:lvlJc w:val="left"/>
      <w:pPr>
        <w:ind w:left="6975" w:hanging="359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1C"/>
    <w:rsid w:val="005D72EC"/>
    <w:rsid w:val="00DA13CB"/>
    <w:rsid w:val="00F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7E0DA-3B32-40A7-BA4B-CE54CF8F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8"/>
      <w:szCs w:val="28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pPr>
      <w:keepNext/>
      <w:ind w:firstLine="720"/>
      <w:outlineLvl w:val="3"/>
    </w:pPr>
    <w:rPr>
      <w:rFonts w:ascii="VNI-Times" w:hAnsi="VNI-Times"/>
      <w:b/>
      <w:color w:val="000000"/>
      <w:sz w:val="24"/>
      <w:szCs w:val="2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/>
  </w:style>
  <w:style w:type="paragraph" w:styleId="NormalWeb">
    <w:name w:val="Normal (Web)"/>
    <w:basedOn w:val="Normal"/>
    <w:pPr>
      <w:spacing w:line="312" w:lineRule="auto"/>
    </w:pPr>
    <w:rPr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CharCharCharChar">
    <w:name w:val="Char Char Char Char"/>
    <w:next w:val="Normal"/>
    <w:semiHidden/>
    <w:pPr>
      <w:spacing w:after="160" w:line="240" w:lineRule="exact"/>
      <w:jc w:val="both"/>
    </w:pPr>
    <w:rPr>
      <w:rFonts w:eastAsia="SimSun"/>
      <w:sz w:val="28"/>
      <w:lang w:bidi="ar-SA"/>
    </w:rPr>
  </w:style>
  <w:style w:type="paragraph" w:styleId="BodyTextIndent2">
    <w:name w:val="Body Text Indent 2"/>
    <w:basedOn w:val="Normal"/>
    <w:pPr>
      <w:spacing w:before="100" w:beforeAutospacing="1" w:after="100" w:afterAutospacing="1"/>
    </w:pPr>
    <w:rPr>
      <w:sz w:val="20"/>
      <w:szCs w:val="24"/>
    </w:rPr>
  </w:style>
  <w:style w:type="character" w:customStyle="1" w:styleId="BodyTextIndent2Char">
    <w:name w:val="Body Text Indent 2 Char"/>
    <w:rPr>
      <w:szCs w:val="24"/>
      <w:lang w:val="en-US" w:eastAsia="en-US"/>
    </w:rPr>
  </w:style>
  <w:style w:type="character" w:customStyle="1" w:styleId="FooterChar">
    <w:name w:val="Footer Char"/>
    <w:rPr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TTPVHCC</dc:creator>
  <cp:lastModifiedBy>TTPVHCC</cp:lastModifiedBy>
  <cp:revision>2</cp:revision>
  <dcterms:created xsi:type="dcterms:W3CDTF">2019-03-12T02:23:00Z</dcterms:created>
  <dcterms:modified xsi:type="dcterms:W3CDTF">2019-03-12T02:23:00Z</dcterms:modified>
</cp:coreProperties>
</file>