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CE" w:rsidRPr="00B612CB" w:rsidRDefault="006023CE">
      <w:pPr>
        <w:tabs>
          <w:tab w:val="center" w:pos="1350"/>
          <w:tab w:val="center" w:pos="6120"/>
        </w:tabs>
        <w:rPr>
          <w:b/>
          <w:sz w:val="26"/>
        </w:rPr>
      </w:pPr>
      <w:r>
        <w:rPr>
          <w:b/>
          <w:sz w:val="26"/>
        </w:rPr>
        <w:tab/>
      </w:r>
      <w:r w:rsidRPr="00B612CB">
        <w:rPr>
          <w:b/>
          <w:sz w:val="26"/>
        </w:rPr>
        <w:t xml:space="preserve">ỦY BAN NHÂN DÂN </w:t>
      </w:r>
      <w:r w:rsidRPr="00B612CB">
        <w:rPr>
          <w:b/>
          <w:sz w:val="26"/>
        </w:rPr>
        <w:tab/>
        <w:t>CỘNG HÒA XÃ HỘI CHỦ NGHĨA VIỆT NAM</w:t>
      </w:r>
    </w:p>
    <w:p w:rsidR="006023CE" w:rsidRPr="006023CE" w:rsidRDefault="006023CE">
      <w:pPr>
        <w:tabs>
          <w:tab w:val="center" w:pos="1350"/>
          <w:tab w:val="center" w:pos="6120"/>
        </w:tabs>
        <w:rPr>
          <w:sz w:val="28"/>
          <w:szCs w:val="28"/>
        </w:rPr>
      </w:pPr>
      <w:r w:rsidRPr="00B612CB">
        <w:rPr>
          <w:b/>
          <w:sz w:val="26"/>
        </w:rPr>
        <w:tab/>
        <w:t xml:space="preserve">TỈNH LONG </w:t>
      </w:r>
      <w:proofErr w:type="gramStart"/>
      <w:r w:rsidRPr="00B612CB">
        <w:rPr>
          <w:b/>
          <w:sz w:val="26"/>
        </w:rPr>
        <w:t>AN</w:t>
      </w:r>
      <w:proofErr w:type="gramEnd"/>
      <w:r w:rsidRPr="00B612CB">
        <w:rPr>
          <w:b/>
          <w:sz w:val="26"/>
        </w:rPr>
        <w:tab/>
      </w:r>
      <w:r w:rsidRPr="006023CE">
        <w:rPr>
          <w:b/>
          <w:sz w:val="28"/>
          <w:szCs w:val="28"/>
        </w:rPr>
        <w:t>Độc lập - Tự do - Hạnh phúc</w:t>
      </w:r>
    </w:p>
    <w:p w:rsidR="006023CE" w:rsidRPr="00B612CB" w:rsidRDefault="006023CE">
      <w:pPr>
        <w:tabs>
          <w:tab w:val="center" w:pos="1350"/>
          <w:tab w:val="center" w:pos="6120"/>
        </w:tabs>
        <w:spacing w:line="240" w:lineRule="exact"/>
      </w:pPr>
      <w:r w:rsidRPr="00B612CB">
        <w:tab/>
      </w:r>
      <w:r w:rsidRPr="00B612CB">
        <w:rPr>
          <w:vertAlign w:val="superscript"/>
        </w:rPr>
        <w:t>_________</w:t>
      </w:r>
      <w:r w:rsidRPr="00B612CB">
        <w:rPr>
          <w:vertAlign w:val="superscript"/>
        </w:rPr>
        <w:tab/>
        <w:t>_________________________________</w:t>
      </w:r>
    </w:p>
    <w:p w:rsidR="006023CE" w:rsidRPr="006023CE" w:rsidRDefault="00644BD7">
      <w:pPr>
        <w:tabs>
          <w:tab w:val="center" w:pos="1350"/>
          <w:tab w:val="center" w:pos="6120"/>
        </w:tabs>
        <w:rPr>
          <w:i/>
          <w:sz w:val="28"/>
          <w:szCs w:val="28"/>
        </w:rPr>
      </w:pPr>
      <w:r>
        <w:rPr>
          <w:sz w:val="28"/>
          <w:szCs w:val="28"/>
        </w:rPr>
        <w:tab/>
        <w:t xml:space="preserve">Số:  34 </w:t>
      </w:r>
      <w:r w:rsidR="006023CE" w:rsidRPr="006023CE">
        <w:rPr>
          <w:sz w:val="28"/>
          <w:szCs w:val="28"/>
        </w:rPr>
        <w:t>/</w:t>
      </w:r>
      <w:r w:rsidR="006023CE">
        <w:rPr>
          <w:sz w:val="28"/>
          <w:szCs w:val="28"/>
        </w:rPr>
        <w:t>2017/</w:t>
      </w:r>
      <w:r w:rsidR="006023CE" w:rsidRPr="006023CE">
        <w:rPr>
          <w:sz w:val="28"/>
          <w:szCs w:val="28"/>
        </w:rPr>
        <w:t>QĐ-UBND</w:t>
      </w:r>
      <w:r w:rsidR="006023CE" w:rsidRPr="006023CE">
        <w:rPr>
          <w:sz w:val="28"/>
          <w:szCs w:val="28"/>
        </w:rPr>
        <w:tab/>
      </w:r>
      <w:r>
        <w:rPr>
          <w:i/>
          <w:sz w:val="28"/>
          <w:szCs w:val="28"/>
        </w:rPr>
        <w:t xml:space="preserve">Long An, </w:t>
      </w:r>
      <w:proofErr w:type="gramStart"/>
      <w:r>
        <w:rPr>
          <w:i/>
          <w:sz w:val="28"/>
          <w:szCs w:val="28"/>
        </w:rPr>
        <w:t xml:space="preserve">ngày </w:t>
      </w:r>
      <w:r w:rsidR="006023CE" w:rsidRPr="006023CE">
        <w:rPr>
          <w:i/>
          <w:sz w:val="28"/>
          <w:szCs w:val="28"/>
        </w:rPr>
        <w:t xml:space="preserve"> </w:t>
      </w:r>
      <w:r>
        <w:rPr>
          <w:i/>
          <w:sz w:val="28"/>
          <w:szCs w:val="28"/>
        </w:rPr>
        <w:t>20</w:t>
      </w:r>
      <w:proofErr w:type="gramEnd"/>
      <w:r w:rsidR="006023CE" w:rsidRPr="006023CE">
        <w:rPr>
          <w:i/>
          <w:sz w:val="28"/>
          <w:szCs w:val="28"/>
        </w:rPr>
        <w:t xml:space="preserve">  tháng  </w:t>
      </w:r>
      <w:r w:rsidR="006023CE">
        <w:rPr>
          <w:i/>
          <w:sz w:val="28"/>
          <w:szCs w:val="28"/>
        </w:rPr>
        <w:t>7</w:t>
      </w:r>
      <w:r w:rsidR="006023CE" w:rsidRPr="006023CE">
        <w:rPr>
          <w:i/>
          <w:sz w:val="28"/>
          <w:szCs w:val="28"/>
        </w:rPr>
        <w:t xml:space="preserve">  năm 201</w:t>
      </w:r>
      <w:r w:rsidR="006023CE">
        <w:rPr>
          <w:i/>
          <w:sz w:val="28"/>
          <w:szCs w:val="28"/>
        </w:rPr>
        <w:t>7</w:t>
      </w:r>
    </w:p>
    <w:p w:rsidR="006023CE" w:rsidRPr="006023CE" w:rsidRDefault="006023CE" w:rsidP="006023CE">
      <w:pPr>
        <w:jc w:val="center"/>
        <w:rPr>
          <w:b/>
          <w:sz w:val="12"/>
          <w:szCs w:val="28"/>
        </w:rPr>
      </w:pPr>
    </w:p>
    <w:p w:rsidR="00083AD1" w:rsidRPr="00454F3E" w:rsidRDefault="00083AD1" w:rsidP="006023CE">
      <w:pPr>
        <w:jc w:val="center"/>
        <w:rPr>
          <w:b/>
          <w:sz w:val="28"/>
          <w:szCs w:val="28"/>
        </w:rPr>
      </w:pPr>
      <w:r w:rsidRPr="00454F3E">
        <w:rPr>
          <w:b/>
          <w:sz w:val="28"/>
          <w:szCs w:val="28"/>
        </w:rPr>
        <w:t>QUYẾT ĐỊNH</w:t>
      </w:r>
    </w:p>
    <w:p w:rsidR="00E17D34" w:rsidRPr="006023CE" w:rsidRDefault="00105BFA" w:rsidP="002137CB">
      <w:pPr>
        <w:jc w:val="center"/>
        <w:rPr>
          <w:b/>
          <w:sz w:val="26"/>
          <w:szCs w:val="26"/>
        </w:rPr>
      </w:pPr>
      <w:r w:rsidRPr="006023CE">
        <w:rPr>
          <w:b/>
          <w:sz w:val="26"/>
          <w:szCs w:val="26"/>
        </w:rPr>
        <w:t>B</w:t>
      </w:r>
      <w:r w:rsidR="00A055CF" w:rsidRPr="006023CE">
        <w:rPr>
          <w:b/>
          <w:sz w:val="26"/>
          <w:szCs w:val="26"/>
        </w:rPr>
        <w:t xml:space="preserve">an hành </w:t>
      </w:r>
      <w:r w:rsidR="0061459E" w:rsidRPr="006023CE">
        <w:rPr>
          <w:b/>
          <w:sz w:val="26"/>
          <w:szCs w:val="26"/>
        </w:rPr>
        <w:t>quy trình</w:t>
      </w:r>
      <w:r w:rsidR="00A055CF" w:rsidRPr="006023CE">
        <w:rPr>
          <w:b/>
          <w:sz w:val="26"/>
          <w:szCs w:val="26"/>
        </w:rPr>
        <w:t xml:space="preserve"> luân chuyển hồ sơ xác định</w:t>
      </w:r>
      <w:r w:rsidR="00E17D34" w:rsidRPr="006023CE">
        <w:rPr>
          <w:b/>
          <w:sz w:val="26"/>
          <w:szCs w:val="26"/>
        </w:rPr>
        <w:t xml:space="preserve"> </w:t>
      </w:r>
      <w:r w:rsidR="00A055CF" w:rsidRPr="006023CE">
        <w:rPr>
          <w:b/>
          <w:sz w:val="26"/>
          <w:szCs w:val="26"/>
        </w:rPr>
        <w:t xml:space="preserve">nghĩa vụ tài chính </w:t>
      </w:r>
    </w:p>
    <w:p w:rsidR="00A055CF" w:rsidRPr="006023CE" w:rsidRDefault="00A055CF" w:rsidP="002137CB">
      <w:pPr>
        <w:jc w:val="center"/>
        <w:rPr>
          <w:b/>
          <w:sz w:val="26"/>
          <w:szCs w:val="26"/>
        </w:rPr>
      </w:pPr>
      <w:proofErr w:type="gramStart"/>
      <w:r w:rsidRPr="006023CE">
        <w:rPr>
          <w:b/>
          <w:sz w:val="26"/>
          <w:szCs w:val="26"/>
        </w:rPr>
        <w:t>về</w:t>
      </w:r>
      <w:proofErr w:type="gramEnd"/>
      <w:r w:rsidRPr="006023CE">
        <w:rPr>
          <w:b/>
          <w:sz w:val="26"/>
          <w:szCs w:val="26"/>
        </w:rPr>
        <w:t xml:space="preserve"> đất đai của </w:t>
      </w:r>
      <w:r w:rsidR="00FD2E96" w:rsidRPr="006023CE">
        <w:rPr>
          <w:b/>
          <w:sz w:val="26"/>
          <w:szCs w:val="26"/>
        </w:rPr>
        <w:t>tổ chức</w:t>
      </w:r>
      <w:r w:rsidRPr="006023CE">
        <w:rPr>
          <w:b/>
          <w:sz w:val="26"/>
          <w:szCs w:val="26"/>
        </w:rPr>
        <w:t xml:space="preserve"> sử dụ</w:t>
      </w:r>
      <w:bookmarkStart w:id="0" w:name="_GoBack"/>
      <w:bookmarkEnd w:id="0"/>
      <w:r w:rsidRPr="006023CE">
        <w:rPr>
          <w:b/>
          <w:sz w:val="26"/>
          <w:szCs w:val="26"/>
        </w:rPr>
        <w:t>ng đất</w:t>
      </w:r>
      <w:r w:rsidR="00DD16CE" w:rsidRPr="006023CE">
        <w:rPr>
          <w:b/>
          <w:sz w:val="26"/>
          <w:szCs w:val="26"/>
        </w:rPr>
        <w:t xml:space="preserve"> trên dịa bàn tỉnh Long An</w:t>
      </w:r>
    </w:p>
    <w:p w:rsidR="00FF6402" w:rsidRPr="00454F3E" w:rsidRDefault="00FF6402" w:rsidP="00AC77C2">
      <w:pPr>
        <w:spacing w:before="120" w:after="120"/>
        <w:jc w:val="center"/>
        <w:rPr>
          <w:sz w:val="16"/>
          <w:szCs w:val="16"/>
        </w:rPr>
      </w:pPr>
      <w:r w:rsidRPr="00454F3E">
        <w:rPr>
          <w:sz w:val="16"/>
          <w:szCs w:val="16"/>
        </w:rPr>
        <w:t>____________________________</w:t>
      </w:r>
    </w:p>
    <w:p w:rsidR="00FF6402" w:rsidRPr="00454F3E" w:rsidRDefault="00FF6402" w:rsidP="00AC77C2">
      <w:pPr>
        <w:spacing w:before="120" w:after="120"/>
        <w:jc w:val="center"/>
        <w:rPr>
          <w:b/>
          <w:sz w:val="10"/>
          <w:szCs w:val="10"/>
        </w:rPr>
      </w:pPr>
    </w:p>
    <w:p w:rsidR="00083AD1" w:rsidRPr="00454F3E" w:rsidRDefault="00083AD1" w:rsidP="00AC77C2">
      <w:pPr>
        <w:spacing w:before="120" w:after="120"/>
        <w:jc w:val="center"/>
        <w:rPr>
          <w:b/>
          <w:sz w:val="28"/>
          <w:szCs w:val="28"/>
        </w:rPr>
      </w:pPr>
      <w:r w:rsidRPr="00454F3E">
        <w:rPr>
          <w:b/>
          <w:sz w:val="28"/>
          <w:szCs w:val="28"/>
        </w:rPr>
        <w:t xml:space="preserve">ỦY BAN NHÂN DÂN TỈNH </w:t>
      </w:r>
      <w:r w:rsidR="00C960A8" w:rsidRPr="00454F3E">
        <w:rPr>
          <w:b/>
          <w:sz w:val="28"/>
          <w:szCs w:val="28"/>
        </w:rPr>
        <w:t>LONG AN</w:t>
      </w:r>
    </w:p>
    <w:p w:rsidR="00083AD1" w:rsidRPr="00454F3E" w:rsidRDefault="00083AD1" w:rsidP="006023CE">
      <w:pPr>
        <w:spacing w:before="60"/>
        <w:ind w:firstLine="720"/>
        <w:jc w:val="both"/>
        <w:rPr>
          <w:i/>
          <w:sz w:val="28"/>
          <w:szCs w:val="28"/>
        </w:rPr>
      </w:pPr>
      <w:r w:rsidRPr="00454F3E">
        <w:rPr>
          <w:i/>
          <w:sz w:val="28"/>
          <w:szCs w:val="28"/>
        </w:rPr>
        <w:t xml:space="preserve">Căn cứ Luật Tổ chức </w:t>
      </w:r>
      <w:r w:rsidR="00AF5828" w:rsidRPr="00454F3E">
        <w:rPr>
          <w:i/>
          <w:sz w:val="28"/>
          <w:szCs w:val="28"/>
        </w:rPr>
        <w:t>chính quyền địa phương ngày 19</w:t>
      </w:r>
      <w:r w:rsidR="00D562DD" w:rsidRPr="00454F3E">
        <w:rPr>
          <w:i/>
          <w:sz w:val="28"/>
          <w:szCs w:val="28"/>
        </w:rPr>
        <w:t>/</w:t>
      </w:r>
      <w:r w:rsidR="00AF5828" w:rsidRPr="00454F3E">
        <w:rPr>
          <w:i/>
          <w:sz w:val="28"/>
          <w:szCs w:val="28"/>
        </w:rPr>
        <w:t>6</w:t>
      </w:r>
      <w:r w:rsidR="00D562DD" w:rsidRPr="00454F3E">
        <w:rPr>
          <w:i/>
          <w:sz w:val="28"/>
          <w:szCs w:val="28"/>
        </w:rPr>
        <w:t>/</w:t>
      </w:r>
      <w:r w:rsidR="00AF5828" w:rsidRPr="00454F3E">
        <w:rPr>
          <w:i/>
          <w:sz w:val="28"/>
          <w:szCs w:val="28"/>
        </w:rPr>
        <w:t>2015</w:t>
      </w:r>
      <w:r w:rsidRPr="00454F3E">
        <w:rPr>
          <w:i/>
          <w:sz w:val="28"/>
          <w:szCs w:val="28"/>
        </w:rPr>
        <w:t>;</w:t>
      </w:r>
    </w:p>
    <w:p w:rsidR="00083AD1" w:rsidRPr="00454F3E" w:rsidRDefault="00083AD1" w:rsidP="006023CE">
      <w:pPr>
        <w:spacing w:before="60"/>
        <w:ind w:firstLine="720"/>
        <w:jc w:val="both"/>
        <w:rPr>
          <w:i/>
          <w:sz w:val="28"/>
          <w:szCs w:val="28"/>
        </w:rPr>
      </w:pPr>
      <w:r w:rsidRPr="00454F3E">
        <w:rPr>
          <w:i/>
          <w:sz w:val="28"/>
          <w:szCs w:val="28"/>
        </w:rPr>
        <w:t xml:space="preserve">Căn cứ Luật Đất </w:t>
      </w:r>
      <w:proofErr w:type="gramStart"/>
      <w:r w:rsidRPr="00454F3E">
        <w:rPr>
          <w:i/>
          <w:sz w:val="28"/>
          <w:szCs w:val="28"/>
        </w:rPr>
        <w:t>đai</w:t>
      </w:r>
      <w:proofErr w:type="gramEnd"/>
      <w:r w:rsidRPr="00454F3E">
        <w:rPr>
          <w:i/>
          <w:sz w:val="28"/>
          <w:szCs w:val="28"/>
        </w:rPr>
        <w:t xml:space="preserve"> ngày </w:t>
      </w:r>
      <w:r w:rsidR="00B129F2" w:rsidRPr="00454F3E">
        <w:rPr>
          <w:i/>
          <w:sz w:val="28"/>
          <w:szCs w:val="28"/>
        </w:rPr>
        <w:t>29</w:t>
      </w:r>
      <w:r w:rsidR="00D562DD" w:rsidRPr="00454F3E">
        <w:rPr>
          <w:i/>
          <w:sz w:val="28"/>
          <w:szCs w:val="28"/>
        </w:rPr>
        <w:t>/</w:t>
      </w:r>
      <w:r w:rsidR="00B129F2" w:rsidRPr="00454F3E">
        <w:rPr>
          <w:i/>
          <w:sz w:val="28"/>
          <w:szCs w:val="28"/>
        </w:rPr>
        <w:t>11</w:t>
      </w:r>
      <w:r w:rsidR="00D562DD" w:rsidRPr="00454F3E">
        <w:rPr>
          <w:i/>
          <w:sz w:val="28"/>
          <w:szCs w:val="28"/>
        </w:rPr>
        <w:t>/</w:t>
      </w:r>
      <w:r w:rsidR="00B129F2" w:rsidRPr="00454F3E">
        <w:rPr>
          <w:i/>
          <w:sz w:val="28"/>
          <w:szCs w:val="28"/>
        </w:rPr>
        <w:t>2013</w:t>
      </w:r>
      <w:r w:rsidRPr="00454F3E">
        <w:rPr>
          <w:i/>
          <w:sz w:val="28"/>
          <w:szCs w:val="28"/>
        </w:rPr>
        <w:t>;</w:t>
      </w:r>
    </w:p>
    <w:p w:rsidR="001A0D55" w:rsidRPr="00454F3E" w:rsidRDefault="001A0D55" w:rsidP="006023CE">
      <w:pPr>
        <w:spacing w:before="60"/>
        <w:ind w:firstLine="720"/>
        <w:jc w:val="both"/>
        <w:rPr>
          <w:i/>
          <w:sz w:val="28"/>
          <w:szCs w:val="28"/>
        </w:rPr>
      </w:pPr>
      <w:r w:rsidRPr="00454F3E">
        <w:rPr>
          <w:i/>
          <w:sz w:val="28"/>
          <w:szCs w:val="28"/>
        </w:rPr>
        <w:t>Căn cứ Nghị định số 43/2014/NĐ-CP ngày 15</w:t>
      </w:r>
      <w:r w:rsidR="00D562DD" w:rsidRPr="00454F3E">
        <w:rPr>
          <w:i/>
          <w:sz w:val="28"/>
          <w:szCs w:val="28"/>
        </w:rPr>
        <w:t>/</w:t>
      </w:r>
      <w:r w:rsidRPr="00454F3E">
        <w:rPr>
          <w:i/>
          <w:sz w:val="28"/>
          <w:szCs w:val="28"/>
        </w:rPr>
        <w:t>5</w:t>
      </w:r>
      <w:r w:rsidR="00D562DD" w:rsidRPr="00454F3E">
        <w:rPr>
          <w:i/>
          <w:sz w:val="28"/>
          <w:szCs w:val="28"/>
        </w:rPr>
        <w:t>/</w:t>
      </w:r>
      <w:r w:rsidRPr="00454F3E">
        <w:rPr>
          <w:i/>
          <w:sz w:val="28"/>
          <w:szCs w:val="28"/>
        </w:rPr>
        <w:t>2014</w:t>
      </w:r>
      <w:r w:rsidR="00E50B21" w:rsidRPr="00454F3E">
        <w:rPr>
          <w:i/>
          <w:sz w:val="28"/>
          <w:szCs w:val="28"/>
        </w:rPr>
        <w:t xml:space="preserve"> của Chính Phủ</w:t>
      </w:r>
      <w:r w:rsidRPr="00454F3E">
        <w:rPr>
          <w:i/>
          <w:sz w:val="28"/>
          <w:szCs w:val="28"/>
        </w:rPr>
        <w:t xml:space="preserve"> quy định chi tiết thi hành một số điều của </w:t>
      </w:r>
      <w:r w:rsidR="00E50B21" w:rsidRPr="00454F3E">
        <w:rPr>
          <w:i/>
          <w:sz w:val="28"/>
          <w:szCs w:val="28"/>
        </w:rPr>
        <w:t>L</w:t>
      </w:r>
      <w:r w:rsidRPr="00454F3E">
        <w:rPr>
          <w:i/>
          <w:sz w:val="28"/>
          <w:szCs w:val="28"/>
        </w:rPr>
        <w:t xml:space="preserve">uật Đất </w:t>
      </w:r>
      <w:proofErr w:type="gramStart"/>
      <w:r w:rsidRPr="00454F3E">
        <w:rPr>
          <w:i/>
          <w:sz w:val="28"/>
          <w:szCs w:val="28"/>
        </w:rPr>
        <w:t>đai</w:t>
      </w:r>
      <w:proofErr w:type="gramEnd"/>
      <w:r w:rsidRPr="00454F3E">
        <w:rPr>
          <w:i/>
          <w:sz w:val="28"/>
          <w:szCs w:val="28"/>
        </w:rPr>
        <w:t>;</w:t>
      </w:r>
    </w:p>
    <w:p w:rsidR="00EC77D9" w:rsidRPr="00454F3E" w:rsidRDefault="00EC77D9" w:rsidP="006023CE">
      <w:pPr>
        <w:spacing w:before="60"/>
        <w:ind w:firstLine="720"/>
        <w:jc w:val="both"/>
        <w:rPr>
          <w:i/>
          <w:sz w:val="28"/>
          <w:szCs w:val="28"/>
        </w:rPr>
      </w:pPr>
      <w:r w:rsidRPr="00454F3E">
        <w:rPr>
          <w:i/>
          <w:sz w:val="28"/>
          <w:szCs w:val="28"/>
        </w:rPr>
        <w:t xml:space="preserve">Căn cứ Nghị định số </w:t>
      </w:r>
      <w:r w:rsidR="00B129F2" w:rsidRPr="00454F3E">
        <w:rPr>
          <w:i/>
          <w:sz w:val="28"/>
          <w:szCs w:val="28"/>
        </w:rPr>
        <w:t>44</w:t>
      </w:r>
      <w:r w:rsidRPr="00454F3E">
        <w:rPr>
          <w:i/>
          <w:sz w:val="28"/>
          <w:szCs w:val="28"/>
        </w:rPr>
        <w:t>/20</w:t>
      </w:r>
      <w:r w:rsidR="00B129F2" w:rsidRPr="00454F3E">
        <w:rPr>
          <w:i/>
          <w:sz w:val="28"/>
          <w:szCs w:val="28"/>
        </w:rPr>
        <w:t>14</w:t>
      </w:r>
      <w:r w:rsidRPr="00454F3E">
        <w:rPr>
          <w:i/>
          <w:sz w:val="28"/>
          <w:szCs w:val="28"/>
        </w:rPr>
        <w:t xml:space="preserve">/NĐ-CP ngày </w:t>
      </w:r>
      <w:r w:rsidR="00B129F2" w:rsidRPr="00454F3E">
        <w:rPr>
          <w:i/>
          <w:sz w:val="28"/>
          <w:szCs w:val="28"/>
        </w:rPr>
        <w:t>15</w:t>
      </w:r>
      <w:r w:rsidR="00D562DD" w:rsidRPr="00454F3E">
        <w:rPr>
          <w:i/>
          <w:sz w:val="28"/>
          <w:szCs w:val="28"/>
        </w:rPr>
        <w:t>/</w:t>
      </w:r>
      <w:r w:rsidR="00B129F2" w:rsidRPr="00454F3E">
        <w:rPr>
          <w:i/>
          <w:sz w:val="28"/>
          <w:szCs w:val="28"/>
        </w:rPr>
        <w:t>5</w:t>
      </w:r>
      <w:r w:rsidR="00D562DD" w:rsidRPr="00454F3E">
        <w:rPr>
          <w:i/>
          <w:sz w:val="28"/>
          <w:szCs w:val="28"/>
        </w:rPr>
        <w:t>/</w:t>
      </w:r>
      <w:r w:rsidRPr="00454F3E">
        <w:rPr>
          <w:i/>
          <w:sz w:val="28"/>
          <w:szCs w:val="28"/>
        </w:rPr>
        <w:t>20</w:t>
      </w:r>
      <w:r w:rsidR="00B129F2" w:rsidRPr="00454F3E">
        <w:rPr>
          <w:i/>
          <w:sz w:val="28"/>
          <w:szCs w:val="28"/>
        </w:rPr>
        <w:t>14</w:t>
      </w:r>
      <w:r w:rsidR="00B23083" w:rsidRPr="00454F3E">
        <w:rPr>
          <w:i/>
          <w:sz w:val="28"/>
          <w:szCs w:val="28"/>
        </w:rPr>
        <w:t xml:space="preserve"> của Chính phủ quy định </w:t>
      </w:r>
      <w:r w:rsidR="00B129F2" w:rsidRPr="00454F3E">
        <w:rPr>
          <w:i/>
          <w:sz w:val="28"/>
          <w:szCs w:val="28"/>
        </w:rPr>
        <w:t>về giá đất</w:t>
      </w:r>
      <w:r w:rsidR="00B23083" w:rsidRPr="00454F3E">
        <w:rPr>
          <w:i/>
          <w:sz w:val="28"/>
          <w:szCs w:val="28"/>
        </w:rPr>
        <w:t>;</w:t>
      </w:r>
    </w:p>
    <w:p w:rsidR="00083AD1" w:rsidRPr="00454F3E" w:rsidRDefault="00083AD1" w:rsidP="006023CE">
      <w:pPr>
        <w:spacing w:before="60"/>
        <w:ind w:firstLine="720"/>
        <w:jc w:val="both"/>
        <w:rPr>
          <w:i/>
          <w:sz w:val="28"/>
          <w:szCs w:val="28"/>
        </w:rPr>
      </w:pPr>
      <w:r w:rsidRPr="00454F3E">
        <w:rPr>
          <w:i/>
          <w:sz w:val="28"/>
          <w:szCs w:val="28"/>
        </w:rPr>
        <w:t xml:space="preserve">Căn cứ Nghị định số </w:t>
      </w:r>
      <w:r w:rsidR="00B129F2" w:rsidRPr="00454F3E">
        <w:rPr>
          <w:i/>
          <w:sz w:val="28"/>
          <w:szCs w:val="28"/>
        </w:rPr>
        <w:t>45</w:t>
      </w:r>
      <w:r w:rsidRPr="00454F3E">
        <w:rPr>
          <w:i/>
          <w:sz w:val="28"/>
          <w:szCs w:val="28"/>
        </w:rPr>
        <w:t>/20</w:t>
      </w:r>
      <w:r w:rsidR="00B129F2" w:rsidRPr="00454F3E">
        <w:rPr>
          <w:i/>
          <w:sz w:val="28"/>
          <w:szCs w:val="28"/>
        </w:rPr>
        <w:t>14</w:t>
      </w:r>
      <w:r w:rsidRPr="00454F3E">
        <w:rPr>
          <w:i/>
          <w:sz w:val="28"/>
          <w:szCs w:val="28"/>
        </w:rPr>
        <w:t xml:space="preserve">/NĐ-CP ngày </w:t>
      </w:r>
      <w:r w:rsidR="00B129F2" w:rsidRPr="00454F3E">
        <w:rPr>
          <w:i/>
          <w:sz w:val="28"/>
          <w:szCs w:val="28"/>
        </w:rPr>
        <w:t>15</w:t>
      </w:r>
      <w:r w:rsidR="00D562DD" w:rsidRPr="00454F3E">
        <w:rPr>
          <w:i/>
          <w:sz w:val="28"/>
          <w:szCs w:val="28"/>
        </w:rPr>
        <w:t>/</w:t>
      </w:r>
      <w:r w:rsidR="00B129F2" w:rsidRPr="00454F3E">
        <w:rPr>
          <w:i/>
          <w:sz w:val="28"/>
          <w:szCs w:val="28"/>
        </w:rPr>
        <w:t>5</w:t>
      </w:r>
      <w:r w:rsidR="00D562DD" w:rsidRPr="00454F3E">
        <w:rPr>
          <w:i/>
          <w:sz w:val="28"/>
          <w:szCs w:val="28"/>
        </w:rPr>
        <w:t>/</w:t>
      </w:r>
      <w:r w:rsidRPr="00454F3E">
        <w:rPr>
          <w:i/>
          <w:sz w:val="28"/>
          <w:szCs w:val="28"/>
        </w:rPr>
        <w:t>201</w:t>
      </w:r>
      <w:r w:rsidR="00B129F2" w:rsidRPr="00454F3E">
        <w:rPr>
          <w:i/>
          <w:sz w:val="28"/>
          <w:szCs w:val="28"/>
        </w:rPr>
        <w:t>4</w:t>
      </w:r>
      <w:r w:rsidRPr="00454F3E">
        <w:rPr>
          <w:i/>
          <w:sz w:val="28"/>
          <w:szCs w:val="28"/>
        </w:rPr>
        <w:t xml:space="preserve"> của Chính phủ </w:t>
      </w:r>
      <w:r w:rsidR="00B129F2" w:rsidRPr="00454F3E">
        <w:rPr>
          <w:i/>
          <w:sz w:val="28"/>
          <w:szCs w:val="28"/>
        </w:rPr>
        <w:t>quy định</w:t>
      </w:r>
      <w:r w:rsidRPr="00454F3E">
        <w:rPr>
          <w:i/>
          <w:sz w:val="28"/>
          <w:szCs w:val="28"/>
        </w:rPr>
        <w:t xml:space="preserve"> về </w:t>
      </w:r>
      <w:proofErr w:type="gramStart"/>
      <w:r w:rsidRPr="00454F3E">
        <w:rPr>
          <w:i/>
          <w:sz w:val="28"/>
          <w:szCs w:val="28"/>
        </w:rPr>
        <w:t>thu</w:t>
      </w:r>
      <w:proofErr w:type="gramEnd"/>
      <w:r w:rsidRPr="00454F3E">
        <w:rPr>
          <w:i/>
          <w:sz w:val="28"/>
          <w:szCs w:val="28"/>
        </w:rPr>
        <w:t xml:space="preserve"> tiền sử dụng đất;</w:t>
      </w:r>
    </w:p>
    <w:p w:rsidR="00FF6402" w:rsidRPr="00454F3E" w:rsidRDefault="00FF6402" w:rsidP="006023CE">
      <w:pPr>
        <w:spacing w:before="60"/>
        <w:ind w:firstLine="720"/>
        <w:jc w:val="both"/>
        <w:rPr>
          <w:i/>
          <w:sz w:val="28"/>
          <w:szCs w:val="28"/>
        </w:rPr>
      </w:pPr>
      <w:r w:rsidRPr="00454F3E">
        <w:rPr>
          <w:i/>
          <w:sz w:val="28"/>
          <w:szCs w:val="28"/>
        </w:rPr>
        <w:t xml:space="preserve">Căn cứ Nghị định số </w:t>
      </w:r>
      <w:r w:rsidR="00B129F2" w:rsidRPr="00454F3E">
        <w:rPr>
          <w:i/>
          <w:sz w:val="28"/>
          <w:szCs w:val="28"/>
        </w:rPr>
        <w:t>46</w:t>
      </w:r>
      <w:r w:rsidRPr="00454F3E">
        <w:rPr>
          <w:i/>
          <w:sz w:val="28"/>
          <w:szCs w:val="28"/>
        </w:rPr>
        <w:t>/201</w:t>
      </w:r>
      <w:r w:rsidR="00B129F2" w:rsidRPr="00454F3E">
        <w:rPr>
          <w:i/>
          <w:sz w:val="28"/>
          <w:szCs w:val="28"/>
        </w:rPr>
        <w:t>4</w:t>
      </w:r>
      <w:r w:rsidRPr="00454F3E">
        <w:rPr>
          <w:i/>
          <w:sz w:val="28"/>
          <w:szCs w:val="28"/>
        </w:rPr>
        <w:t xml:space="preserve">/NĐ-CP ngày </w:t>
      </w:r>
      <w:r w:rsidR="003A0FAE" w:rsidRPr="00454F3E">
        <w:rPr>
          <w:i/>
          <w:sz w:val="28"/>
          <w:szCs w:val="28"/>
        </w:rPr>
        <w:t>15</w:t>
      </w:r>
      <w:r w:rsidR="00D562DD" w:rsidRPr="00454F3E">
        <w:rPr>
          <w:i/>
          <w:sz w:val="28"/>
          <w:szCs w:val="28"/>
        </w:rPr>
        <w:t>/</w:t>
      </w:r>
      <w:r w:rsidR="003A0FAE" w:rsidRPr="00454F3E">
        <w:rPr>
          <w:i/>
          <w:sz w:val="28"/>
          <w:szCs w:val="28"/>
        </w:rPr>
        <w:t>5</w:t>
      </w:r>
      <w:r w:rsidR="00D562DD" w:rsidRPr="00454F3E">
        <w:rPr>
          <w:i/>
          <w:sz w:val="28"/>
          <w:szCs w:val="28"/>
        </w:rPr>
        <w:t>/</w:t>
      </w:r>
      <w:r w:rsidRPr="00454F3E">
        <w:rPr>
          <w:i/>
          <w:sz w:val="28"/>
          <w:szCs w:val="28"/>
        </w:rPr>
        <w:t>201</w:t>
      </w:r>
      <w:r w:rsidR="003A0FAE" w:rsidRPr="00454F3E">
        <w:rPr>
          <w:i/>
          <w:sz w:val="28"/>
          <w:szCs w:val="28"/>
        </w:rPr>
        <w:t>4</w:t>
      </w:r>
      <w:r w:rsidRPr="00454F3E">
        <w:rPr>
          <w:i/>
          <w:sz w:val="28"/>
          <w:szCs w:val="28"/>
        </w:rPr>
        <w:t xml:space="preserve"> của Chính phủ </w:t>
      </w:r>
      <w:r w:rsidR="003A0FAE" w:rsidRPr="00454F3E">
        <w:rPr>
          <w:i/>
          <w:sz w:val="28"/>
          <w:szCs w:val="28"/>
        </w:rPr>
        <w:t>quy định</w:t>
      </w:r>
      <w:r w:rsidRPr="00454F3E">
        <w:rPr>
          <w:i/>
          <w:sz w:val="28"/>
          <w:szCs w:val="28"/>
        </w:rPr>
        <w:t xml:space="preserve"> về </w:t>
      </w:r>
      <w:proofErr w:type="gramStart"/>
      <w:r w:rsidRPr="00454F3E">
        <w:rPr>
          <w:i/>
          <w:sz w:val="28"/>
          <w:szCs w:val="28"/>
        </w:rPr>
        <w:t>thu</w:t>
      </w:r>
      <w:proofErr w:type="gramEnd"/>
      <w:r w:rsidRPr="00454F3E">
        <w:rPr>
          <w:i/>
          <w:sz w:val="28"/>
          <w:szCs w:val="28"/>
        </w:rPr>
        <w:t xml:space="preserve"> tiền thuê đất, thuê mặt nước;</w:t>
      </w:r>
    </w:p>
    <w:p w:rsidR="003A0FAE" w:rsidRPr="00454F3E" w:rsidRDefault="003A0FAE" w:rsidP="006023CE">
      <w:pPr>
        <w:spacing w:before="60"/>
        <w:ind w:firstLine="720"/>
        <w:jc w:val="both"/>
        <w:rPr>
          <w:i/>
          <w:sz w:val="28"/>
          <w:szCs w:val="28"/>
        </w:rPr>
      </w:pPr>
      <w:r w:rsidRPr="00454F3E">
        <w:rPr>
          <w:i/>
          <w:sz w:val="28"/>
          <w:szCs w:val="28"/>
        </w:rPr>
        <w:t>Căn cứ Nghị định số 47/2014/NĐ-CP ngày 15</w:t>
      </w:r>
      <w:r w:rsidR="00D562DD" w:rsidRPr="00454F3E">
        <w:rPr>
          <w:i/>
          <w:sz w:val="28"/>
          <w:szCs w:val="28"/>
        </w:rPr>
        <w:t>/</w:t>
      </w:r>
      <w:r w:rsidRPr="00454F3E">
        <w:rPr>
          <w:i/>
          <w:sz w:val="28"/>
          <w:szCs w:val="28"/>
        </w:rPr>
        <w:t>5</w:t>
      </w:r>
      <w:r w:rsidR="00D562DD" w:rsidRPr="00454F3E">
        <w:rPr>
          <w:i/>
          <w:sz w:val="28"/>
          <w:szCs w:val="28"/>
        </w:rPr>
        <w:t>/</w:t>
      </w:r>
      <w:r w:rsidRPr="00454F3E">
        <w:rPr>
          <w:i/>
          <w:sz w:val="28"/>
          <w:szCs w:val="28"/>
        </w:rPr>
        <w:t xml:space="preserve">2014 của Chính phủ quy định về bồi thường, hỗ trợ, tái định cư khi Nhà nước </w:t>
      </w:r>
      <w:proofErr w:type="gramStart"/>
      <w:r w:rsidRPr="00454F3E">
        <w:rPr>
          <w:i/>
          <w:sz w:val="28"/>
          <w:szCs w:val="28"/>
        </w:rPr>
        <w:t>thu</w:t>
      </w:r>
      <w:proofErr w:type="gramEnd"/>
      <w:r w:rsidRPr="00454F3E">
        <w:rPr>
          <w:i/>
          <w:sz w:val="28"/>
          <w:szCs w:val="28"/>
        </w:rPr>
        <w:t xml:space="preserve"> hồi đất;</w:t>
      </w:r>
    </w:p>
    <w:p w:rsidR="00A055CF" w:rsidRPr="00454F3E" w:rsidRDefault="00A055CF" w:rsidP="006023CE">
      <w:pPr>
        <w:spacing w:before="60"/>
        <w:ind w:firstLine="720"/>
        <w:jc w:val="both"/>
        <w:rPr>
          <w:i/>
          <w:sz w:val="28"/>
          <w:szCs w:val="28"/>
        </w:rPr>
      </w:pPr>
      <w:r w:rsidRPr="00454F3E">
        <w:rPr>
          <w:i/>
          <w:sz w:val="28"/>
          <w:szCs w:val="28"/>
        </w:rPr>
        <w:t>Căn c</w:t>
      </w:r>
      <w:r w:rsidR="00CF44B2" w:rsidRPr="00454F3E">
        <w:rPr>
          <w:i/>
          <w:sz w:val="28"/>
          <w:szCs w:val="28"/>
        </w:rPr>
        <w:t>ứ</w:t>
      </w:r>
      <w:r w:rsidRPr="00454F3E">
        <w:rPr>
          <w:i/>
          <w:sz w:val="28"/>
          <w:szCs w:val="28"/>
        </w:rPr>
        <w:t xml:space="preserve"> Nghị định số 135</w:t>
      </w:r>
      <w:r w:rsidR="00D562DD" w:rsidRPr="00454F3E">
        <w:rPr>
          <w:i/>
          <w:sz w:val="28"/>
          <w:szCs w:val="28"/>
        </w:rPr>
        <w:t>/2016/NĐ-CP ngày 09/9/</w:t>
      </w:r>
      <w:r w:rsidRPr="00454F3E">
        <w:rPr>
          <w:i/>
          <w:sz w:val="28"/>
          <w:szCs w:val="28"/>
        </w:rPr>
        <w:t xml:space="preserve">2016 của Chính phủ sửa đổi, bổ sung một số điều của các Nghị định quy định về </w:t>
      </w:r>
      <w:proofErr w:type="gramStart"/>
      <w:r w:rsidRPr="00454F3E">
        <w:rPr>
          <w:i/>
          <w:sz w:val="28"/>
          <w:szCs w:val="28"/>
        </w:rPr>
        <w:t>thu</w:t>
      </w:r>
      <w:proofErr w:type="gramEnd"/>
      <w:r w:rsidRPr="00454F3E">
        <w:rPr>
          <w:i/>
          <w:sz w:val="28"/>
          <w:szCs w:val="28"/>
        </w:rPr>
        <w:t xml:space="preserve"> tiền sử dụng đất, thu tiền thuê đất, thuê mặt nước;</w:t>
      </w:r>
    </w:p>
    <w:p w:rsidR="00CF44B2" w:rsidRPr="00454F3E" w:rsidRDefault="00CF44B2" w:rsidP="006023CE">
      <w:pPr>
        <w:spacing w:before="60"/>
        <w:ind w:firstLine="720"/>
        <w:jc w:val="both"/>
        <w:rPr>
          <w:i/>
          <w:sz w:val="28"/>
          <w:szCs w:val="28"/>
        </w:rPr>
      </w:pPr>
      <w:r w:rsidRPr="00454F3E">
        <w:rPr>
          <w:i/>
          <w:sz w:val="28"/>
          <w:szCs w:val="28"/>
        </w:rPr>
        <w:t>Căn cứ Nghị định số 01/2017/NĐ-CP ngày 06</w:t>
      </w:r>
      <w:r w:rsidR="00D562DD" w:rsidRPr="00454F3E">
        <w:rPr>
          <w:i/>
          <w:sz w:val="28"/>
          <w:szCs w:val="28"/>
        </w:rPr>
        <w:t>/</w:t>
      </w:r>
      <w:r w:rsidRPr="00454F3E">
        <w:rPr>
          <w:i/>
          <w:sz w:val="28"/>
          <w:szCs w:val="28"/>
        </w:rPr>
        <w:t>01</w:t>
      </w:r>
      <w:r w:rsidR="00D562DD" w:rsidRPr="00454F3E">
        <w:rPr>
          <w:i/>
          <w:sz w:val="28"/>
          <w:szCs w:val="28"/>
        </w:rPr>
        <w:t>/</w:t>
      </w:r>
      <w:r w:rsidRPr="00454F3E">
        <w:rPr>
          <w:i/>
          <w:sz w:val="28"/>
          <w:szCs w:val="28"/>
        </w:rPr>
        <w:t>2017 của Chính phủ sử</w:t>
      </w:r>
      <w:r w:rsidR="00D13FA9" w:rsidRPr="00454F3E">
        <w:rPr>
          <w:i/>
          <w:sz w:val="28"/>
          <w:szCs w:val="28"/>
        </w:rPr>
        <w:t>a</w:t>
      </w:r>
      <w:r w:rsidRPr="00454F3E">
        <w:rPr>
          <w:i/>
          <w:sz w:val="28"/>
          <w:szCs w:val="28"/>
        </w:rPr>
        <w:t xml:space="preserve"> đổi, bổ sung một số nghị định chi tiết thi hành Luật đất </w:t>
      </w:r>
      <w:proofErr w:type="gramStart"/>
      <w:r w:rsidRPr="00454F3E">
        <w:rPr>
          <w:i/>
          <w:sz w:val="28"/>
          <w:szCs w:val="28"/>
        </w:rPr>
        <w:t>đai</w:t>
      </w:r>
      <w:proofErr w:type="gramEnd"/>
      <w:r w:rsidRPr="00454F3E">
        <w:rPr>
          <w:i/>
          <w:sz w:val="28"/>
          <w:szCs w:val="28"/>
        </w:rPr>
        <w:t>;</w:t>
      </w:r>
    </w:p>
    <w:p w:rsidR="00D956DD" w:rsidRPr="00454F3E" w:rsidRDefault="00D956DD" w:rsidP="006023CE">
      <w:pPr>
        <w:spacing w:before="60"/>
        <w:ind w:firstLine="709"/>
        <w:jc w:val="both"/>
        <w:rPr>
          <w:i/>
          <w:sz w:val="28"/>
          <w:szCs w:val="28"/>
        </w:rPr>
      </w:pPr>
      <w:r w:rsidRPr="00454F3E">
        <w:rPr>
          <w:i/>
          <w:sz w:val="28"/>
          <w:szCs w:val="28"/>
        </w:rPr>
        <w:t>Căn cứ Thông tư số 24/2014/TT-BTNMT ngày 19</w:t>
      </w:r>
      <w:r w:rsidR="00D562DD" w:rsidRPr="00454F3E">
        <w:rPr>
          <w:i/>
          <w:sz w:val="28"/>
          <w:szCs w:val="28"/>
        </w:rPr>
        <w:t>/</w:t>
      </w:r>
      <w:r w:rsidRPr="00454F3E">
        <w:rPr>
          <w:i/>
          <w:sz w:val="28"/>
          <w:szCs w:val="28"/>
        </w:rPr>
        <w:t>5</w:t>
      </w:r>
      <w:r w:rsidR="003B3EBE" w:rsidRPr="00454F3E">
        <w:rPr>
          <w:i/>
          <w:sz w:val="28"/>
          <w:szCs w:val="28"/>
        </w:rPr>
        <w:t>/</w:t>
      </w:r>
      <w:r w:rsidRPr="00454F3E">
        <w:rPr>
          <w:i/>
          <w:sz w:val="28"/>
          <w:szCs w:val="28"/>
        </w:rPr>
        <w:t>2014 của Bộ Tài nguyên và Môi trường quy định về hồ sơ địa chính;</w:t>
      </w:r>
    </w:p>
    <w:p w:rsidR="00083AD1" w:rsidRPr="006023CE" w:rsidRDefault="00083AD1" w:rsidP="006023CE">
      <w:pPr>
        <w:spacing w:before="60"/>
        <w:ind w:firstLine="709"/>
        <w:jc w:val="both"/>
        <w:rPr>
          <w:i/>
          <w:spacing w:val="-2"/>
          <w:sz w:val="28"/>
          <w:szCs w:val="28"/>
        </w:rPr>
      </w:pPr>
      <w:r w:rsidRPr="006023CE">
        <w:rPr>
          <w:i/>
          <w:spacing w:val="-2"/>
          <w:sz w:val="28"/>
          <w:szCs w:val="28"/>
        </w:rPr>
        <w:t xml:space="preserve">Căn cứ Thông tư số </w:t>
      </w:r>
      <w:r w:rsidR="00A00B23" w:rsidRPr="006023CE">
        <w:rPr>
          <w:i/>
          <w:spacing w:val="-2"/>
          <w:sz w:val="28"/>
          <w:szCs w:val="28"/>
        </w:rPr>
        <w:t>76/2014/TT-</w:t>
      </w:r>
      <w:r w:rsidR="00B91A50" w:rsidRPr="006023CE">
        <w:rPr>
          <w:i/>
          <w:spacing w:val="-2"/>
          <w:sz w:val="28"/>
          <w:szCs w:val="28"/>
        </w:rPr>
        <w:t>BTC</w:t>
      </w:r>
      <w:r w:rsidRPr="006023CE">
        <w:rPr>
          <w:i/>
          <w:spacing w:val="-2"/>
          <w:sz w:val="28"/>
          <w:szCs w:val="28"/>
        </w:rPr>
        <w:t xml:space="preserve"> ngày </w:t>
      </w:r>
      <w:r w:rsidR="00B91A50" w:rsidRPr="006023CE">
        <w:rPr>
          <w:i/>
          <w:spacing w:val="-2"/>
          <w:sz w:val="28"/>
          <w:szCs w:val="28"/>
        </w:rPr>
        <w:t>16</w:t>
      </w:r>
      <w:r w:rsidR="003B3EBE" w:rsidRPr="006023CE">
        <w:rPr>
          <w:i/>
          <w:spacing w:val="-2"/>
          <w:sz w:val="28"/>
          <w:szCs w:val="28"/>
        </w:rPr>
        <w:t>/</w:t>
      </w:r>
      <w:r w:rsidR="00B91A50" w:rsidRPr="006023CE">
        <w:rPr>
          <w:i/>
          <w:spacing w:val="-2"/>
          <w:sz w:val="28"/>
          <w:szCs w:val="28"/>
        </w:rPr>
        <w:t>6</w:t>
      </w:r>
      <w:r w:rsidR="003B3EBE" w:rsidRPr="006023CE">
        <w:rPr>
          <w:i/>
          <w:spacing w:val="-2"/>
          <w:sz w:val="28"/>
          <w:szCs w:val="28"/>
        </w:rPr>
        <w:t>/</w:t>
      </w:r>
      <w:r w:rsidRPr="006023CE">
        <w:rPr>
          <w:i/>
          <w:spacing w:val="-2"/>
          <w:sz w:val="28"/>
          <w:szCs w:val="28"/>
        </w:rPr>
        <w:t>20</w:t>
      </w:r>
      <w:r w:rsidR="00B91A50" w:rsidRPr="006023CE">
        <w:rPr>
          <w:i/>
          <w:spacing w:val="-2"/>
          <w:sz w:val="28"/>
          <w:szCs w:val="28"/>
        </w:rPr>
        <w:t>14</w:t>
      </w:r>
      <w:r w:rsidRPr="006023CE">
        <w:rPr>
          <w:i/>
          <w:spacing w:val="-2"/>
          <w:sz w:val="28"/>
          <w:szCs w:val="28"/>
        </w:rPr>
        <w:t xml:space="preserve"> của Bộ Tài chính </w:t>
      </w:r>
      <w:r w:rsidR="00A00B23" w:rsidRPr="006023CE">
        <w:rPr>
          <w:i/>
          <w:spacing w:val="-2"/>
          <w:sz w:val="28"/>
          <w:szCs w:val="28"/>
        </w:rPr>
        <w:t>h</w:t>
      </w:r>
      <w:r w:rsidR="00B91A50" w:rsidRPr="006023CE">
        <w:rPr>
          <w:i/>
          <w:spacing w:val="-2"/>
          <w:sz w:val="28"/>
          <w:szCs w:val="28"/>
        </w:rPr>
        <w:t>ướng dẫn một số điều của Nghị định số 45/2014/NĐ-CP ngày 15</w:t>
      </w:r>
      <w:r w:rsidR="003B3EBE" w:rsidRPr="006023CE">
        <w:rPr>
          <w:i/>
          <w:spacing w:val="-2"/>
          <w:sz w:val="28"/>
          <w:szCs w:val="28"/>
        </w:rPr>
        <w:t>/</w:t>
      </w:r>
      <w:r w:rsidR="00B91A50" w:rsidRPr="006023CE">
        <w:rPr>
          <w:i/>
          <w:spacing w:val="-2"/>
          <w:sz w:val="28"/>
          <w:szCs w:val="28"/>
        </w:rPr>
        <w:t>5</w:t>
      </w:r>
      <w:r w:rsidR="003B3EBE" w:rsidRPr="006023CE">
        <w:rPr>
          <w:i/>
          <w:spacing w:val="-2"/>
          <w:sz w:val="28"/>
          <w:szCs w:val="28"/>
        </w:rPr>
        <w:t>/</w:t>
      </w:r>
      <w:r w:rsidR="00B91A50" w:rsidRPr="006023CE">
        <w:rPr>
          <w:i/>
          <w:spacing w:val="-2"/>
          <w:sz w:val="28"/>
          <w:szCs w:val="28"/>
        </w:rPr>
        <w:t>2014 của Chính phủ</w:t>
      </w:r>
      <w:r w:rsidRPr="006023CE">
        <w:rPr>
          <w:i/>
          <w:spacing w:val="-2"/>
          <w:sz w:val="28"/>
          <w:szCs w:val="28"/>
        </w:rPr>
        <w:t>;</w:t>
      </w:r>
    </w:p>
    <w:p w:rsidR="00A503DB" w:rsidRPr="006023CE" w:rsidRDefault="00A00B23" w:rsidP="006023CE">
      <w:pPr>
        <w:spacing w:before="60"/>
        <w:ind w:firstLine="709"/>
        <w:jc w:val="both"/>
        <w:rPr>
          <w:i/>
          <w:spacing w:val="-2"/>
          <w:sz w:val="28"/>
          <w:szCs w:val="28"/>
        </w:rPr>
      </w:pPr>
      <w:r w:rsidRPr="006023CE">
        <w:rPr>
          <w:i/>
          <w:spacing w:val="-2"/>
          <w:sz w:val="28"/>
          <w:szCs w:val="28"/>
        </w:rPr>
        <w:t>Căn cứ Thông tư số 77/2014/TT-</w:t>
      </w:r>
      <w:r w:rsidR="003B3EBE" w:rsidRPr="006023CE">
        <w:rPr>
          <w:i/>
          <w:spacing w:val="-2"/>
          <w:sz w:val="28"/>
          <w:szCs w:val="28"/>
        </w:rPr>
        <w:t>BTC ngày 16/6/</w:t>
      </w:r>
      <w:r w:rsidR="00B91A50" w:rsidRPr="006023CE">
        <w:rPr>
          <w:i/>
          <w:spacing w:val="-2"/>
          <w:sz w:val="28"/>
          <w:szCs w:val="28"/>
        </w:rPr>
        <w:t xml:space="preserve">2014 của Bộ Tài chính </w:t>
      </w:r>
      <w:r w:rsidR="00B91A50" w:rsidRPr="006023CE">
        <w:rPr>
          <w:bCs/>
          <w:i/>
          <w:iCs/>
          <w:spacing w:val="-2"/>
          <w:sz w:val="28"/>
          <w:szCs w:val="28"/>
        </w:rPr>
        <w:t>hướng dẫn một số điều của Nghị định số 46/2014/NĐ-CP ngày 15</w:t>
      </w:r>
      <w:r w:rsidR="003B3EBE" w:rsidRPr="006023CE">
        <w:rPr>
          <w:bCs/>
          <w:i/>
          <w:iCs/>
          <w:spacing w:val="-2"/>
          <w:sz w:val="28"/>
          <w:szCs w:val="28"/>
        </w:rPr>
        <w:t>/</w:t>
      </w:r>
      <w:r w:rsidR="00B91A50" w:rsidRPr="006023CE">
        <w:rPr>
          <w:bCs/>
          <w:i/>
          <w:iCs/>
          <w:spacing w:val="-2"/>
          <w:sz w:val="28"/>
          <w:szCs w:val="28"/>
        </w:rPr>
        <w:t>5</w:t>
      </w:r>
      <w:r w:rsidR="003B3EBE" w:rsidRPr="006023CE">
        <w:rPr>
          <w:bCs/>
          <w:i/>
          <w:iCs/>
          <w:spacing w:val="-2"/>
          <w:sz w:val="28"/>
          <w:szCs w:val="28"/>
        </w:rPr>
        <w:t>/</w:t>
      </w:r>
      <w:r w:rsidR="00B91A50" w:rsidRPr="006023CE">
        <w:rPr>
          <w:bCs/>
          <w:i/>
          <w:iCs/>
          <w:spacing w:val="-2"/>
          <w:sz w:val="28"/>
          <w:szCs w:val="28"/>
        </w:rPr>
        <w:t>2014 của Chính phủ</w:t>
      </w:r>
      <w:r w:rsidR="00B91A50" w:rsidRPr="006023CE">
        <w:rPr>
          <w:i/>
          <w:spacing w:val="-2"/>
          <w:sz w:val="28"/>
          <w:szCs w:val="28"/>
        </w:rPr>
        <w:t>;</w:t>
      </w:r>
    </w:p>
    <w:p w:rsidR="00A055CF" w:rsidRPr="00454F3E" w:rsidRDefault="00A00B23" w:rsidP="006023CE">
      <w:pPr>
        <w:spacing w:before="60"/>
        <w:ind w:firstLine="709"/>
        <w:jc w:val="both"/>
        <w:rPr>
          <w:i/>
          <w:sz w:val="28"/>
          <w:szCs w:val="28"/>
        </w:rPr>
      </w:pPr>
      <w:r w:rsidRPr="00454F3E">
        <w:rPr>
          <w:i/>
          <w:sz w:val="28"/>
          <w:szCs w:val="28"/>
        </w:rPr>
        <w:t>Căn cứ Thông tư số 36/2014/TT-</w:t>
      </w:r>
      <w:r w:rsidR="00A055CF" w:rsidRPr="00454F3E">
        <w:rPr>
          <w:i/>
          <w:sz w:val="28"/>
          <w:szCs w:val="28"/>
        </w:rPr>
        <w:t>BTNMT ngày 30</w:t>
      </w:r>
      <w:r w:rsidR="003B3EBE" w:rsidRPr="00454F3E">
        <w:rPr>
          <w:i/>
          <w:sz w:val="28"/>
          <w:szCs w:val="28"/>
        </w:rPr>
        <w:t>/</w:t>
      </w:r>
      <w:r w:rsidR="00A055CF" w:rsidRPr="00454F3E">
        <w:rPr>
          <w:i/>
          <w:sz w:val="28"/>
          <w:szCs w:val="28"/>
        </w:rPr>
        <w:t>6</w:t>
      </w:r>
      <w:r w:rsidR="003B3EBE" w:rsidRPr="00454F3E">
        <w:rPr>
          <w:i/>
          <w:sz w:val="28"/>
          <w:szCs w:val="28"/>
        </w:rPr>
        <w:t>/</w:t>
      </w:r>
      <w:r w:rsidR="00A055CF" w:rsidRPr="00454F3E">
        <w:rPr>
          <w:i/>
          <w:sz w:val="28"/>
          <w:szCs w:val="28"/>
        </w:rPr>
        <w:t>2014 của Bộ Tài nguyên và Môi trường quy định chi tiết về phương pháp định giá đất; xây dựng, điều chỉnh bảng giá đất, định giá đất cụ thể và tư vấn xác định giá đất;</w:t>
      </w:r>
    </w:p>
    <w:p w:rsidR="00EE116D" w:rsidRPr="00454F3E" w:rsidRDefault="007A729D" w:rsidP="006023CE">
      <w:pPr>
        <w:spacing w:before="60"/>
        <w:ind w:firstLine="709"/>
        <w:jc w:val="both"/>
        <w:rPr>
          <w:i/>
          <w:sz w:val="28"/>
          <w:szCs w:val="28"/>
        </w:rPr>
      </w:pPr>
      <w:r w:rsidRPr="00454F3E">
        <w:rPr>
          <w:i/>
          <w:sz w:val="28"/>
          <w:szCs w:val="28"/>
        </w:rPr>
        <w:t xml:space="preserve">Căn cứ Thông tư </w:t>
      </w:r>
      <w:r w:rsidR="00AB0159" w:rsidRPr="00454F3E">
        <w:rPr>
          <w:i/>
          <w:sz w:val="28"/>
          <w:szCs w:val="28"/>
        </w:rPr>
        <w:t xml:space="preserve">liên tịch </w:t>
      </w:r>
      <w:r w:rsidRPr="00454F3E">
        <w:rPr>
          <w:i/>
          <w:sz w:val="28"/>
          <w:szCs w:val="28"/>
        </w:rPr>
        <w:t xml:space="preserve">số 87/2016/TTLT-BTC-BTNMT </w:t>
      </w:r>
      <w:r w:rsidR="00EE116D" w:rsidRPr="00454F3E">
        <w:rPr>
          <w:i/>
          <w:sz w:val="28"/>
          <w:szCs w:val="28"/>
        </w:rPr>
        <w:t>ngày 22</w:t>
      </w:r>
      <w:r w:rsidR="00E27F6D" w:rsidRPr="00454F3E">
        <w:rPr>
          <w:i/>
          <w:sz w:val="28"/>
          <w:szCs w:val="28"/>
        </w:rPr>
        <w:t>/</w:t>
      </w:r>
      <w:r w:rsidR="00EE116D" w:rsidRPr="00454F3E">
        <w:rPr>
          <w:i/>
          <w:sz w:val="28"/>
          <w:szCs w:val="28"/>
        </w:rPr>
        <w:t>6</w:t>
      </w:r>
      <w:r w:rsidR="00E27F6D" w:rsidRPr="00454F3E">
        <w:rPr>
          <w:i/>
          <w:sz w:val="28"/>
          <w:szCs w:val="28"/>
        </w:rPr>
        <w:t>/</w:t>
      </w:r>
      <w:r w:rsidR="00EE116D" w:rsidRPr="00454F3E">
        <w:rPr>
          <w:i/>
          <w:sz w:val="28"/>
          <w:szCs w:val="28"/>
        </w:rPr>
        <w:t xml:space="preserve">2016 </w:t>
      </w:r>
      <w:r w:rsidR="009C14C3" w:rsidRPr="00454F3E">
        <w:rPr>
          <w:i/>
          <w:sz w:val="28"/>
          <w:szCs w:val="28"/>
        </w:rPr>
        <w:t xml:space="preserve">của liên Bộ Tài chính </w:t>
      </w:r>
      <w:r w:rsidR="005B1333" w:rsidRPr="00454F3E">
        <w:rPr>
          <w:i/>
          <w:sz w:val="28"/>
          <w:szCs w:val="28"/>
        </w:rPr>
        <w:t>-</w:t>
      </w:r>
      <w:r w:rsidR="00C110D0" w:rsidRPr="00454F3E">
        <w:rPr>
          <w:i/>
          <w:sz w:val="28"/>
          <w:szCs w:val="28"/>
        </w:rPr>
        <w:t xml:space="preserve"> </w:t>
      </w:r>
      <w:r w:rsidR="005B1333" w:rsidRPr="00454F3E">
        <w:rPr>
          <w:i/>
          <w:sz w:val="28"/>
          <w:szCs w:val="28"/>
        </w:rPr>
        <w:t xml:space="preserve">Bộ </w:t>
      </w:r>
      <w:r w:rsidR="009C14C3" w:rsidRPr="00454F3E">
        <w:rPr>
          <w:i/>
          <w:sz w:val="28"/>
          <w:szCs w:val="28"/>
        </w:rPr>
        <w:t>Tài nguyên và Môi trường</w:t>
      </w:r>
      <w:r w:rsidR="00AB0159" w:rsidRPr="00454F3E">
        <w:rPr>
          <w:i/>
          <w:sz w:val="28"/>
          <w:szCs w:val="28"/>
        </w:rPr>
        <w:t xml:space="preserve"> hướng dẫn việc</w:t>
      </w:r>
      <w:r w:rsidR="009C14C3" w:rsidRPr="00454F3E">
        <w:rPr>
          <w:i/>
          <w:sz w:val="28"/>
          <w:szCs w:val="28"/>
        </w:rPr>
        <w:t xml:space="preserve"> </w:t>
      </w:r>
      <w:r w:rsidRPr="00454F3E">
        <w:rPr>
          <w:i/>
          <w:sz w:val="28"/>
          <w:szCs w:val="28"/>
        </w:rPr>
        <w:t>thẩm định dự thảo bảng giá đất của Hội đồng thẩm định bảng giá đất, thẩm định phương án giá đất của Hội đồng thẩm định giá đất;</w:t>
      </w:r>
    </w:p>
    <w:p w:rsidR="004167A4" w:rsidRPr="00454F3E" w:rsidRDefault="004167A4" w:rsidP="006023CE">
      <w:pPr>
        <w:spacing w:before="60"/>
        <w:ind w:firstLine="709"/>
        <w:jc w:val="both"/>
        <w:rPr>
          <w:i/>
          <w:sz w:val="28"/>
          <w:szCs w:val="28"/>
        </w:rPr>
      </w:pPr>
      <w:r w:rsidRPr="00454F3E">
        <w:rPr>
          <w:i/>
          <w:sz w:val="28"/>
          <w:szCs w:val="28"/>
        </w:rPr>
        <w:lastRenderedPageBreak/>
        <w:t xml:space="preserve">Căn cứ Thông tư </w:t>
      </w:r>
      <w:r w:rsidR="00AB0159" w:rsidRPr="00454F3E">
        <w:rPr>
          <w:i/>
          <w:sz w:val="28"/>
          <w:szCs w:val="28"/>
        </w:rPr>
        <w:t xml:space="preserve">liên tịch </w:t>
      </w:r>
      <w:r w:rsidRPr="00454F3E">
        <w:rPr>
          <w:i/>
          <w:sz w:val="28"/>
          <w:szCs w:val="28"/>
        </w:rPr>
        <w:t xml:space="preserve">số 88/2016/TTLT/BTC-BTNMT ngày </w:t>
      </w:r>
      <w:r w:rsidR="00A055CF" w:rsidRPr="00454F3E">
        <w:rPr>
          <w:i/>
          <w:sz w:val="28"/>
          <w:szCs w:val="28"/>
        </w:rPr>
        <w:t>22</w:t>
      </w:r>
      <w:r w:rsidR="007E3EDE" w:rsidRPr="00454F3E">
        <w:rPr>
          <w:i/>
          <w:sz w:val="28"/>
          <w:szCs w:val="28"/>
        </w:rPr>
        <w:t>/</w:t>
      </w:r>
      <w:r w:rsidR="00A055CF" w:rsidRPr="00454F3E">
        <w:rPr>
          <w:i/>
          <w:sz w:val="28"/>
          <w:szCs w:val="28"/>
        </w:rPr>
        <w:t>6</w:t>
      </w:r>
      <w:r w:rsidR="007E3EDE" w:rsidRPr="00454F3E">
        <w:rPr>
          <w:i/>
          <w:sz w:val="28"/>
          <w:szCs w:val="28"/>
        </w:rPr>
        <w:t>/</w:t>
      </w:r>
      <w:r w:rsidR="00A055CF" w:rsidRPr="00454F3E">
        <w:rPr>
          <w:i/>
          <w:sz w:val="28"/>
          <w:szCs w:val="28"/>
        </w:rPr>
        <w:t>2016</w:t>
      </w:r>
      <w:r w:rsidRPr="00454F3E">
        <w:rPr>
          <w:i/>
          <w:sz w:val="28"/>
          <w:szCs w:val="28"/>
        </w:rPr>
        <w:t xml:space="preserve"> của </w:t>
      </w:r>
      <w:r w:rsidR="009B1299" w:rsidRPr="00454F3E">
        <w:rPr>
          <w:i/>
          <w:sz w:val="28"/>
          <w:szCs w:val="28"/>
        </w:rPr>
        <w:t>l</w:t>
      </w:r>
      <w:r w:rsidR="007A729D" w:rsidRPr="00454F3E">
        <w:rPr>
          <w:i/>
          <w:sz w:val="28"/>
          <w:szCs w:val="28"/>
        </w:rPr>
        <w:t xml:space="preserve">iên </w:t>
      </w:r>
      <w:r w:rsidRPr="00454F3E">
        <w:rPr>
          <w:i/>
          <w:sz w:val="28"/>
          <w:szCs w:val="28"/>
        </w:rPr>
        <w:t xml:space="preserve">Bộ Tài chính </w:t>
      </w:r>
      <w:r w:rsidR="00A055CF" w:rsidRPr="00454F3E">
        <w:rPr>
          <w:i/>
          <w:sz w:val="28"/>
          <w:szCs w:val="28"/>
        </w:rPr>
        <w:t>-</w:t>
      </w:r>
      <w:r w:rsidRPr="00454F3E">
        <w:rPr>
          <w:i/>
          <w:sz w:val="28"/>
          <w:szCs w:val="28"/>
        </w:rPr>
        <w:t xml:space="preserve"> Bộ Tài nguyên và Môi trường</w:t>
      </w:r>
      <w:r w:rsidR="0037039B" w:rsidRPr="00454F3E">
        <w:rPr>
          <w:i/>
          <w:sz w:val="28"/>
          <w:szCs w:val="28"/>
        </w:rPr>
        <w:t xml:space="preserve"> quy định về hồ sơ và trình tự, thủ tục tiếp nhận, luân chuyển hồ sơ xác định nghĩa vụ tài chính về đất đai của người sử dụng đất</w:t>
      </w:r>
      <w:r w:rsidR="00D60D22">
        <w:rPr>
          <w:i/>
          <w:sz w:val="28"/>
          <w:szCs w:val="28"/>
        </w:rPr>
        <w:t xml:space="preserve"> (viết tắt là Thông tư liên tịch số 88</w:t>
      </w:r>
      <w:r w:rsidR="00D60D22" w:rsidRPr="00454F3E">
        <w:rPr>
          <w:i/>
          <w:sz w:val="28"/>
          <w:szCs w:val="28"/>
        </w:rPr>
        <w:t>/2016/TTLT/BTC-BTNMT</w:t>
      </w:r>
      <w:r w:rsidR="00D60D22">
        <w:rPr>
          <w:i/>
          <w:sz w:val="28"/>
          <w:szCs w:val="28"/>
        </w:rPr>
        <w:t>)</w:t>
      </w:r>
      <w:r w:rsidRPr="00454F3E">
        <w:rPr>
          <w:i/>
          <w:sz w:val="28"/>
          <w:szCs w:val="28"/>
        </w:rPr>
        <w:t>;</w:t>
      </w:r>
    </w:p>
    <w:p w:rsidR="00471A31" w:rsidRPr="00454F3E" w:rsidRDefault="00471A31" w:rsidP="006023CE">
      <w:pPr>
        <w:spacing w:before="60"/>
        <w:ind w:firstLine="709"/>
        <w:jc w:val="both"/>
        <w:rPr>
          <w:i/>
          <w:sz w:val="28"/>
          <w:szCs w:val="28"/>
        </w:rPr>
      </w:pPr>
      <w:r w:rsidRPr="00454F3E">
        <w:rPr>
          <w:i/>
          <w:sz w:val="28"/>
          <w:szCs w:val="28"/>
        </w:rPr>
        <w:t xml:space="preserve"> Căn cứ Thông tư số 332/2016/TT-BTC ngày </w:t>
      </w:r>
      <w:r w:rsidR="0076517D" w:rsidRPr="00454F3E">
        <w:rPr>
          <w:i/>
          <w:sz w:val="28"/>
          <w:szCs w:val="28"/>
        </w:rPr>
        <w:t>ngày 26</w:t>
      </w:r>
      <w:r w:rsidR="007E3EDE" w:rsidRPr="00454F3E">
        <w:rPr>
          <w:i/>
          <w:sz w:val="28"/>
          <w:szCs w:val="28"/>
        </w:rPr>
        <w:t>/</w:t>
      </w:r>
      <w:r w:rsidR="0076517D" w:rsidRPr="00454F3E">
        <w:rPr>
          <w:i/>
          <w:sz w:val="28"/>
          <w:szCs w:val="28"/>
        </w:rPr>
        <w:t>12</w:t>
      </w:r>
      <w:r w:rsidR="007E3EDE" w:rsidRPr="00454F3E">
        <w:rPr>
          <w:i/>
          <w:sz w:val="28"/>
          <w:szCs w:val="28"/>
        </w:rPr>
        <w:t>/</w:t>
      </w:r>
      <w:r w:rsidR="0076517D" w:rsidRPr="00454F3E">
        <w:rPr>
          <w:i/>
          <w:sz w:val="28"/>
          <w:szCs w:val="28"/>
        </w:rPr>
        <w:t xml:space="preserve">2016 </w:t>
      </w:r>
      <w:r w:rsidR="00141E6A" w:rsidRPr="00454F3E">
        <w:rPr>
          <w:i/>
          <w:sz w:val="28"/>
          <w:szCs w:val="28"/>
        </w:rPr>
        <w:t xml:space="preserve">của Bộ Tài chính </w:t>
      </w:r>
      <w:r w:rsidRPr="00454F3E">
        <w:rPr>
          <w:i/>
          <w:sz w:val="28"/>
          <w:szCs w:val="28"/>
        </w:rPr>
        <w:t xml:space="preserve">sửa đổi, bổ sung một số điều của Thông tư số 76/2014/TT-BTC ngày </w:t>
      </w:r>
      <w:r w:rsidR="0076517D" w:rsidRPr="00454F3E">
        <w:rPr>
          <w:i/>
          <w:sz w:val="28"/>
          <w:szCs w:val="28"/>
        </w:rPr>
        <w:t>16</w:t>
      </w:r>
      <w:r w:rsidR="007E3EDE" w:rsidRPr="00454F3E">
        <w:rPr>
          <w:i/>
          <w:sz w:val="28"/>
          <w:szCs w:val="28"/>
        </w:rPr>
        <w:t>/</w:t>
      </w:r>
      <w:r w:rsidR="0076517D" w:rsidRPr="00454F3E">
        <w:rPr>
          <w:i/>
          <w:sz w:val="28"/>
          <w:szCs w:val="28"/>
        </w:rPr>
        <w:t>6</w:t>
      </w:r>
      <w:r w:rsidR="007E3EDE" w:rsidRPr="00454F3E">
        <w:rPr>
          <w:i/>
          <w:sz w:val="28"/>
          <w:szCs w:val="28"/>
        </w:rPr>
        <w:t>/</w:t>
      </w:r>
      <w:r w:rsidR="0076517D" w:rsidRPr="00454F3E">
        <w:rPr>
          <w:i/>
          <w:sz w:val="28"/>
          <w:szCs w:val="28"/>
        </w:rPr>
        <w:t xml:space="preserve">2014 </w:t>
      </w:r>
      <w:r w:rsidRPr="00454F3E">
        <w:rPr>
          <w:i/>
          <w:sz w:val="28"/>
          <w:szCs w:val="28"/>
        </w:rPr>
        <w:t>của Bộ Tài chính</w:t>
      </w:r>
      <w:r w:rsidR="000B7093" w:rsidRPr="00454F3E">
        <w:rPr>
          <w:i/>
          <w:sz w:val="28"/>
          <w:szCs w:val="28"/>
        </w:rPr>
        <w:t>;</w:t>
      </w:r>
    </w:p>
    <w:p w:rsidR="000B7093" w:rsidRPr="006023CE" w:rsidRDefault="000B7093" w:rsidP="006023CE">
      <w:pPr>
        <w:spacing w:before="60"/>
        <w:ind w:firstLine="709"/>
        <w:jc w:val="both"/>
        <w:rPr>
          <w:i/>
          <w:spacing w:val="-2"/>
          <w:sz w:val="28"/>
          <w:szCs w:val="28"/>
        </w:rPr>
      </w:pPr>
      <w:r w:rsidRPr="006023CE">
        <w:rPr>
          <w:i/>
          <w:spacing w:val="-2"/>
          <w:sz w:val="28"/>
          <w:szCs w:val="28"/>
        </w:rPr>
        <w:t>Căn cứ Thông tư số 333/2016/TT-BTC ngày 26</w:t>
      </w:r>
      <w:r w:rsidR="00415BA4" w:rsidRPr="006023CE">
        <w:rPr>
          <w:i/>
          <w:spacing w:val="-2"/>
          <w:sz w:val="28"/>
          <w:szCs w:val="28"/>
        </w:rPr>
        <w:t>/</w:t>
      </w:r>
      <w:r w:rsidRPr="006023CE">
        <w:rPr>
          <w:i/>
          <w:spacing w:val="-2"/>
          <w:sz w:val="28"/>
          <w:szCs w:val="28"/>
        </w:rPr>
        <w:t>12</w:t>
      </w:r>
      <w:r w:rsidR="00415BA4" w:rsidRPr="006023CE">
        <w:rPr>
          <w:i/>
          <w:spacing w:val="-2"/>
          <w:sz w:val="28"/>
          <w:szCs w:val="28"/>
        </w:rPr>
        <w:t>/</w:t>
      </w:r>
      <w:r w:rsidRPr="006023CE">
        <w:rPr>
          <w:i/>
          <w:spacing w:val="-2"/>
          <w:sz w:val="28"/>
          <w:szCs w:val="28"/>
        </w:rPr>
        <w:t xml:space="preserve">2016 của Bộ Tài chính sửa đổi, bổ sung một số điều của Thông tư số 77/2014/TT-BTC ngày </w:t>
      </w:r>
      <w:r w:rsidR="006A7868" w:rsidRPr="006023CE">
        <w:rPr>
          <w:i/>
          <w:spacing w:val="-2"/>
          <w:sz w:val="28"/>
          <w:szCs w:val="28"/>
        </w:rPr>
        <w:t>16</w:t>
      </w:r>
      <w:r w:rsidR="00415BA4" w:rsidRPr="006023CE">
        <w:rPr>
          <w:i/>
          <w:spacing w:val="-2"/>
          <w:sz w:val="28"/>
          <w:szCs w:val="28"/>
        </w:rPr>
        <w:t>/</w:t>
      </w:r>
      <w:r w:rsidR="006A7868" w:rsidRPr="006023CE">
        <w:rPr>
          <w:i/>
          <w:spacing w:val="-2"/>
          <w:sz w:val="28"/>
          <w:szCs w:val="28"/>
        </w:rPr>
        <w:t>6</w:t>
      </w:r>
      <w:r w:rsidR="00415BA4" w:rsidRPr="006023CE">
        <w:rPr>
          <w:i/>
          <w:spacing w:val="-2"/>
          <w:sz w:val="28"/>
          <w:szCs w:val="28"/>
        </w:rPr>
        <w:t>/</w:t>
      </w:r>
      <w:r w:rsidR="006A7868" w:rsidRPr="006023CE">
        <w:rPr>
          <w:i/>
          <w:spacing w:val="-2"/>
          <w:sz w:val="28"/>
          <w:szCs w:val="28"/>
        </w:rPr>
        <w:t xml:space="preserve">2014 </w:t>
      </w:r>
      <w:r w:rsidRPr="006023CE">
        <w:rPr>
          <w:i/>
          <w:spacing w:val="-2"/>
          <w:sz w:val="28"/>
          <w:szCs w:val="28"/>
        </w:rPr>
        <w:t>của Bộ Tài chính</w:t>
      </w:r>
      <w:r w:rsidR="0040194B" w:rsidRPr="006023CE">
        <w:rPr>
          <w:i/>
          <w:spacing w:val="-2"/>
          <w:sz w:val="28"/>
          <w:szCs w:val="28"/>
        </w:rPr>
        <w:t>;</w:t>
      </w:r>
    </w:p>
    <w:p w:rsidR="00083AD1" w:rsidRPr="00454F3E" w:rsidRDefault="00105BFA" w:rsidP="006023CE">
      <w:pPr>
        <w:spacing w:before="60"/>
        <w:ind w:firstLine="720"/>
        <w:jc w:val="both"/>
        <w:rPr>
          <w:i/>
          <w:sz w:val="28"/>
          <w:szCs w:val="28"/>
        </w:rPr>
      </w:pPr>
      <w:r w:rsidRPr="00454F3E">
        <w:rPr>
          <w:i/>
          <w:sz w:val="28"/>
          <w:szCs w:val="28"/>
        </w:rPr>
        <w:t xml:space="preserve">Theo </w:t>
      </w:r>
      <w:r w:rsidR="00C214A6" w:rsidRPr="00454F3E">
        <w:rPr>
          <w:i/>
          <w:sz w:val="28"/>
          <w:szCs w:val="28"/>
        </w:rPr>
        <w:t>đề nghị của</w:t>
      </w:r>
      <w:r w:rsidR="00637C9E" w:rsidRPr="00454F3E">
        <w:rPr>
          <w:i/>
          <w:sz w:val="28"/>
          <w:szCs w:val="28"/>
        </w:rPr>
        <w:t xml:space="preserve"> </w:t>
      </w:r>
      <w:r w:rsidR="00EC22EE" w:rsidRPr="00454F3E">
        <w:rPr>
          <w:i/>
          <w:sz w:val="28"/>
          <w:szCs w:val="28"/>
        </w:rPr>
        <w:t xml:space="preserve">Giám đốc </w:t>
      </w:r>
      <w:r w:rsidR="00637C9E" w:rsidRPr="00454F3E">
        <w:rPr>
          <w:i/>
          <w:sz w:val="28"/>
          <w:szCs w:val="28"/>
        </w:rPr>
        <w:t xml:space="preserve">Sở Tài nguyên và Môi trường </w:t>
      </w:r>
      <w:r w:rsidR="00C214A6" w:rsidRPr="00454F3E">
        <w:rPr>
          <w:i/>
          <w:sz w:val="28"/>
          <w:szCs w:val="28"/>
        </w:rPr>
        <w:t xml:space="preserve">tại Tờ trình số </w:t>
      </w:r>
      <w:r w:rsidR="00345E5E">
        <w:rPr>
          <w:i/>
          <w:sz w:val="28"/>
          <w:szCs w:val="28"/>
        </w:rPr>
        <w:t>561</w:t>
      </w:r>
      <w:r w:rsidR="00C214A6" w:rsidRPr="00454F3E">
        <w:rPr>
          <w:i/>
          <w:sz w:val="28"/>
          <w:szCs w:val="28"/>
        </w:rPr>
        <w:t>/TTr-</w:t>
      </w:r>
      <w:r w:rsidR="00F60606" w:rsidRPr="00454F3E">
        <w:rPr>
          <w:i/>
          <w:sz w:val="28"/>
          <w:szCs w:val="28"/>
        </w:rPr>
        <w:t>STNMT</w:t>
      </w:r>
      <w:r w:rsidR="0040194B" w:rsidRPr="00454F3E">
        <w:rPr>
          <w:i/>
          <w:sz w:val="28"/>
          <w:szCs w:val="28"/>
        </w:rPr>
        <w:t xml:space="preserve"> ngày </w:t>
      </w:r>
      <w:r w:rsidR="00345E5E">
        <w:rPr>
          <w:i/>
          <w:sz w:val="28"/>
          <w:szCs w:val="28"/>
        </w:rPr>
        <w:t>06/7</w:t>
      </w:r>
      <w:r w:rsidR="0087310F" w:rsidRPr="00454F3E">
        <w:rPr>
          <w:i/>
          <w:sz w:val="28"/>
          <w:szCs w:val="28"/>
        </w:rPr>
        <w:t>/2017</w:t>
      </w:r>
      <w:r w:rsidR="00083AD1" w:rsidRPr="00454F3E">
        <w:rPr>
          <w:i/>
          <w:sz w:val="28"/>
          <w:szCs w:val="28"/>
        </w:rPr>
        <w:t>,</w:t>
      </w:r>
    </w:p>
    <w:p w:rsidR="00083AD1" w:rsidRPr="00454F3E" w:rsidRDefault="00083AD1" w:rsidP="00AC77C2">
      <w:pPr>
        <w:spacing w:before="120" w:after="120"/>
        <w:jc w:val="center"/>
        <w:rPr>
          <w:b/>
          <w:sz w:val="28"/>
          <w:szCs w:val="28"/>
        </w:rPr>
      </w:pPr>
      <w:r w:rsidRPr="00454F3E">
        <w:rPr>
          <w:b/>
          <w:sz w:val="28"/>
          <w:szCs w:val="28"/>
        </w:rPr>
        <w:t>QUYẾT ĐỊNH:</w:t>
      </w:r>
    </w:p>
    <w:p w:rsidR="00083AD1" w:rsidRPr="00454F3E" w:rsidRDefault="00083AD1" w:rsidP="006023CE">
      <w:pPr>
        <w:spacing w:before="60"/>
        <w:ind w:firstLine="629"/>
        <w:jc w:val="both"/>
        <w:rPr>
          <w:sz w:val="28"/>
          <w:szCs w:val="28"/>
        </w:rPr>
      </w:pPr>
      <w:proofErr w:type="gramStart"/>
      <w:r w:rsidRPr="00454F3E">
        <w:rPr>
          <w:b/>
          <w:sz w:val="28"/>
          <w:szCs w:val="28"/>
        </w:rPr>
        <w:t>Điều 1.</w:t>
      </w:r>
      <w:proofErr w:type="gramEnd"/>
      <w:r w:rsidRPr="00454F3E">
        <w:rPr>
          <w:sz w:val="28"/>
          <w:szCs w:val="28"/>
        </w:rPr>
        <w:t xml:space="preserve"> Ban hành kèm theo </w:t>
      </w:r>
      <w:r w:rsidR="006D58DA">
        <w:rPr>
          <w:sz w:val="28"/>
          <w:szCs w:val="28"/>
        </w:rPr>
        <w:t>q</w:t>
      </w:r>
      <w:r w:rsidRPr="00454F3E">
        <w:rPr>
          <w:sz w:val="28"/>
          <w:szCs w:val="28"/>
        </w:rPr>
        <w:t xml:space="preserve">uyết định này </w:t>
      </w:r>
      <w:r w:rsidR="006D58DA">
        <w:rPr>
          <w:sz w:val="28"/>
          <w:szCs w:val="28"/>
        </w:rPr>
        <w:t>“</w:t>
      </w:r>
      <w:r w:rsidRPr="00454F3E">
        <w:rPr>
          <w:sz w:val="28"/>
          <w:szCs w:val="28"/>
        </w:rPr>
        <w:t xml:space="preserve">Quy </w:t>
      </w:r>
      <w:r w:rsidR="00AD1978" w:rsidRPr="00454F3E">
        <w:rPr>
          <w:sz w:val="28"/>
          <w:szCs w:val="28"/>
        </w:rPr>
        <w:t>trình</w:t>
      </w:r>
      <w:r w:rsidR="001A0D55" w:rsidRPr="00454F3E">
        <w:rPr>
          <w:sz w:val="28"/>
          <w:szCs w:val="28"/>
        </w:rPr>
        <w:t xml:space="preserve"> luân chuyển hồ sơ để xác định, thu nộp tiền sử dụng đất, tiền thuê đất theo quy định của pháp luật đất đai và các khoản thuế, phí, lệ phí khác liên quan đến sử dụng đất đai của </w:t>
      </w:r>
      <w:r w:rsidR="00FD2E96" w:rsidRPr="00454F3E">
        <w:rPr>
          <w:sz w:val="28"/>
          <w:szCs w:val="28"/>
        </w:rPr>
        <w:t>tổ</w:t>
      </w:r>
      <w:r w:rsidR="001A0D55" w:rsidRPr="00454F3E">
        <w:rPr>
          <w:sz w:val="28"/>
          <w:szCs w:val="28"/>
        </w:rPr>
        <w:t xml:space="preserve"> </w:t>
      </w:r>
      <w:r w:rsidR="00141E6A" w:rsidRPr="00454F3E">
        <w:rPr>
          <w:sz w:val="28"/>
          <w:szCs w:val="28"/>
        </w:rPr>
        <w:t xml:space="preserve">chức </w:t>
      </w:r>
      <w:r w:rsidR="001A0D55" w:rsidRPr="00454F3E">
        <w:rPr>
          <w:sz w:val="28"/>
          <w:szCs w:val="28"/>
        </w:rPr>
        <w:t>sử dụng đất, sở hữu tài sản gắn liền với đất</w:t>
      </w:r>
      <w:r w:rsidR="00F54D84" w:rsidRPr="00454F3E">
        <w:rPr>
          <w:sz w:val="28"/>
          <w:szCs w:val="28"/>
        </w:rPr>
        <w:t xml:space="preserve"> </w:t>
      </w:r>
      <w:r w:rsidRPr="00454F3E">
        <w:rPr>
          <w:sz w:val="28"/>
          <w:szCs w:val="28"/>
        </w:rPr>
        <w:t xml:space="preserve">trên địa bàn tỉnh </w:t>
      </w:r>
      <w:r w:rsidR="00C960A8" w:rsidRPr="00454F3E">
        <w:rPr>
          <w:sz w:val="28"/>
          <w:szCs w:val="28"/>
        </w:rPr>
        <w:t>Long An</w:t>
      </w:r>
      <w:r w:rsidR="006D58DA">
        <w:rPr>
          <w:sz w:val="28"/>
          <w:szCs w:val="28"/>
        </w:rPr>
        <w:t>”</w:t>
      </w:r>
      <w:r w:rsidRPr="00454F3E">
        <w:rPr>
          <w:sz w:val="28"/>
          <w:szCs w:val="28"/>
        </w:rPr>
        <w:t>.</w:t>
      </w:r>
    </w:p>
    <w:p w:rsidR="00E50B21" w:rsidRPr="00454F3E" w:rsidRDefault="00083AD1" w:rsidP="006023CE">
      <w:pPr>
        <w:spacing w:before="60"/>
        <w:ind w:firstLine="629"/>
        <w:jc w:val="both"/>
        <w:rPr>
          <w:sz w:val="28"/>
          <w:szCs w:val="28"/>
        </w:rPr>
      </w:pPr>
      <w:proofErr w:type="gramStart"/>
      <w:r w:rsidRPr="00454F3E">
        <w:rPr>
          <w:b/>
          <w:sz w:val="28"/>
          <w:szCs w:val="28"/>
        </w:rPr>
        <w:t>Điều 2.</w:t>
      </w:r>
      <w:proofErr w:type="gramEnd"/>
      <w:r w:rsidRPr="00454F3E">
        <w:rPr>
          <w:sz w:val="28"/>
          <w:szCs w:val="28"/>
        </w:rPr>
        <w:t xml:space="preserve"> Quyết định này có hiệu lực</w:t>
      </w:r>
      <w:r w:rsidR="006D58DA">
        <w:rPr>
          <w:sz w:val="28"/>
          <w:szCs w:val="28"/>
        </w:rPr>
        <w:t xml:space="preserve"> thi hành</w:t>
      </w:r>
      <w:r w:rsidRPr="00454F3E">
        <w:rPr>
          <w:sz w:val="28"/>
          <w:szCs w:val="28"/>
        </w:rPr>
        <w:t xml:space="preserve"> </w:t>
      </w:r>
      <w:r w:rsidR="001A0D55" w:rsidRPr="00454F3E">
        <w:rPr>
          <w:sz w:val="28"/>
          <w:szCs w:val="28"/>
        </w:rPr>
        <w:t>kể từ ngày</w:t>
      </w:r>
      <w:r w:rsidR="00141E6A" w:rsidRPr="00454F3E">
        <w:rPr>
          <w:sz w:val="28"/>
          <w:szCs w:val="28"/>
        </w:rPr>
        <w:t xml:space="preserve"> </w:t>
      </w:r>
      <w:r w:rsidR="00345E5E">
        <w:rPr>
          <w:sz w:val="28"/>
          <w:szCs w:val="28"/>
        </w:rPr>
        <w:t>01/8</w:t>
      </w:r>
      <w:r w:rsidR="00B8421C" w:rsidRPr="00454F3E">
        <w:rPr>
          <w:sz w:val="28"/>
          <w:szCs w:val="28"/>
        </w:rPr>
        <w:t>/2017</w:t>
      </w:r>
      <w:r w:rsidR="001A0D55" w:rsidRPr="00454F3E">
        <w:rPr>
          <w:sz w:val="28"/>
          <w:szCs w:val="28"/>
        </w:rPr>
        <w:t xml:space="preserve"> </w:t>
      </w:r>
      <w:r w:rsidR="00BD7C92" w:rsidRPr="00454F3E">
        <w:rPr>
          <w:sz w:val="28"/>
          <w:szCs w:val="28"/>
        </w:rPr>
        <w:t>v</w:t>
      </w:r>
      <w:r w:rsidR="001A0D55" w:rsidRPr="00454F3E">
        <w:rPr>
          <w:sz w:val="28"/>
          <w:szCs w:val="28"/>
        </w:rPr>
        <w:t>à thay thế Quyết định số 05/2014/QĐ-UBND ngày 09/01/2014</w:t>
      </w:r>
      <w:r w:rsidR="00BD7C92" w:rsidRPr="00454F3E">
        <w:rPr>
          <w:sz w:val="28"/>
          <w:szCs w:val="28"/>
        </w:rPr>
        <w:t xml:space="preserve"> </w:t>
      </w:r>
      <w:r w:rsidR="001A0D55" w:rsidRPr="00454F3E">
        <w:rPr>
          <w:sz w:val="28"/>
          <w:szCs w:val="28"/>
        </w:rPr>
        <w:t>của UBND tỉnh</w:t>
      </w:r>
      <w:r w:rsidR="00E50B21" w:rsidRPr="00454F3E">
        <w:rPr>
          <w:sz w:val="28"/>
          <w:szCs w:val="28"/>
        </w:rPr>
        <w:t xml:space="preserve"> ban hành Quy định về quy trình phối hợp trong việc luân chuyển hồ sơ, xác định, thu nộp nghĩa vụ tài chính về đất đai trên địa bàn tỉnh Long An. </w:t>
      </w:r>
    </w:p>
    <w:p w:rsidR="00083AD1" w:rsidRPr="00454F3E" w:rsidRDefault="00E50B21" w:rsidP="006023CE">
      <w:pPr>
        <w:spacing w:before="60"/>
        <w:ind w:firstLine="629"/>
        <w:jc w:val="both"/>
        <w:rPr>
          <w:sz w:val="28"/>
          <w:szCs w:val="28"/>
        </w:rPr>
      </w:pPr>
      <w:proofErr w:type="gramStart"/>
      <w:r w:rsidRPr="00454F3E">
        <w:rPr>
          <w:sz w:val="28"/>
          <w:szCs w:val="28"/>
        </w:rPr>
        <w:t>Giao Sở Tài nguyên và Môi trường c</w:t>
      </w:r>
      <w:r w:rsidR="006D58DA">
        <w:rPr>
          <w:sz w:val="28"/>
          <w:szCs w:val="28"/>
        </w:rPr>
        <w:t xml:space="preserve">hủ trì phối hợp với các cơ quan, đơn vị </w:t>
      </w:r>
      <w:r w:rsidRPr="00454F3E">
        <w:rPr>
          <w:sz w:val="28"/>
          <w:szCs w:val="28"/>
        </w:rPr>
        <w:t xml:space="preserve">có liên quan </w:t>
      </w:r>
      <w:r w:rsidR="006E24C1" w:rsidRPr="00454F3E">
        <w:rPr>
          <w:sz w:val="28"/>
          <w:szCs w:val="28"/>
        </w:rPr>
        <w:t xml:space="preserve">hướng dẫn, </w:t>
      </w:r>
      <w:r w:rsidR="003347A7" w:rsidRPr="00454F3E">
        <w:rPr>
          <w:sz w:val="28"/>
          <w:szCs w:val="28"/>
        </w:rPr>
        <w:t>triển khai</w:t>
      </w:r>
      <w:r w:rsidRPr="00454F3E">
        <w:rPr>
          <w:sz w:val="28"/>
          <w:szCs w:val="28"/>
        </w:rPr>
        <w:t xml:space="preserve"> thực hiện </w:t>
      </w:r>
      <w:r w:rsidR="006D58DA">
        <w:rPr>
          <w:sz w:val="28"/>
          <w:szCs w:val="28"/>
        </w:rPr>
        <w:t>q</w:t>
      </w:r>
      <w:r w:rsidRPr="00454F3E">
        <w:rPr>
          <w:sz w:val="28"/>
          <w:szCs w:val="28"/>
        </w:rPr>
        <w:t>uyết định này.</w:t>
      </w:r>
      <w:proofErr w:type="gramEnd"/>
    </w:p>
    <w:p w:rsidR="00083AD1" w:rsidRDefault="00083AD1" w:rsidP="006023CE">
      <w:pPr>
        <w:spacing w:before="60"/>
        <w:ind w:firstLine="629"/>
        <w:jc w:val="both"/>
        <w:rPr>
          <w:sz w:val="28"/>
          <w:szCs w:val="28"/>
        </w:rPr>
      </w:pPr>
      <w:proofErr w:type="gramStart"/>
      <w:r w:rsidRPr="00454F3E">
        <w:rPr>
          <w:b/>
          <w:sz w:val="28"/>
          <w:szCs w:val="28"/>
        </w:rPr>
        <w:t>Điều 3.</w:t>
      </w:r>
      <w:proofErr w:type="gramEnd"/>
      <w:r w:rsidRPr="00454F3E">
        <w:rPr>
          <w:sz w:val="28"/>
          <w:szCs w:val="28"/>
        </w:rPr>
        <w:t xml:space="preserve"> Chánh Văn phòng Uỷ ban nhân dân tỉnh</w:t>
      </w:r>
      <w:r w:rsidR="006D58DA">
        <w:rPr>
          <w:sz w:val="28"/>
          <w:szCs w:val="28"/>
        </w:rPr>
        <w:t xml:space="preserve">, </w:t>
      </w:r>
      <w:r w:rsidR="00606EFA" w:rsidRPr="00454F3E">
        <w:rPr>
          <w:sz w:val="28"/>
          <w:szCs w:val="28"/>
        </w:rPr>
        <w:t>Giám đốc</w:t>
      </w:r>
      <w:r w:rsidRPr="00454F3E">
        <w:rPr>
          <w:sz w:val="28"/>
          <w:szCs w:val="28"/>
        </w:rPr>
        <w:t xml:space="preserve"> </w:t>
      </w:r>
      <w:r w:rsidR="00C214A6" w:rsidRPr="00454F3E">
        <w:rPr>
          <w:sz w:val="28"/>
          <w:szCs w:val="28"/>
        </w:rPr>
        <w:t>S</w:t>
      </w:r>
      <w:r w:rsidRPr="00454F3E">
        <w:rPr>
          <w:sz w:val="28"/>
          <w:szCs w:val="28"/>
        </w:rPr>
        <w:t>ở</w:t>
      </w:r>
      <w:r w:rsidR="00606EFA" w:rsidRPr="00454F3E">
        <w:rPr>
          <w:sz w:val="28"/>
          <w:szCs w:val="28"/>
        </w:rPr>
        <w:t xml:space="preserve"> Tài chính</w:t>
      </w:r>
      <w:r w:rsidRPr="00454F3E">
        <w:rPr>
          <w:sz w:val="28"/>
          <w:szCs w:val="28"/>
        </w:rPr>
        <w:t>,</w:t>
      </w:r>
      <w:r w:rsidR="00606EFA" w:rsidRPr="00454F3E">
        <w:rPr>
          <w:sz w:val="28"/>
          <w:szCs w:val="28"/>
        </w:rPr>
        <w:t xml:space="preserve"> </w:t>
      </w:r>
      <w:r w:rsidR="006D58DA">
        <w:rPr>
          <w:sz w:val="28"/>
          <w:szCs w:val="28"/>
        </w:rPr>
        <w:t xml:space="preserve">Giám đốc </w:t>
      </w:r>
      <w:r w:rsidR="00606EFA" w:rsidRPr="00454F3E">
        <w:rPr>
          <w:sz w:val="28"/>
          <w:szCs w:val="28"/>
        </w:rPr>
        <w:t>Sở Tài nguyên và Môi trường</w:t>
      </w:r>
      <w:r w:rsidR="00E50B21" w:rsidRPr="00454F3E">
        <w:rPr>
          <w:sz w:val="28"/>
          <w:szCs w:val="28"/>
        </w:rPr>
        <w:t xml:space="preserve">; </w:t>
      </w:r>
      <w:r w:rsidR="008A21F1">
        <w:rPr>
          <w:sz w:val="28"/>
          <w:szCs w:val="28"/>
        </w:rPr>
        <w:t xml:space="preserve">Giám đốc Văn phòng Đăng ký đất đai; </w:t>
      </w:r>
      <w:r w:rsidR="00606EFA" w:rsidRPr="00454F3E">
        <w:rPr>
          <w:sz w:val="28"/>
          <w:szCs w:val="28"/>
        </w:rPr>
        <w:t>Giám đốc Trung Tâm phục vụ hành chính công tỉnh</w:t>
      </w:r>
      <w:r w:rsidR="006D58DA">
        <w:rPr>
          <w:sz w:val="28"/>
          <w:szCs w:val="28"/>
        </w:rPr>
        <w:t>,</w:t>
      </w:r>
      <w:r w:rsidR="0073080A" w:rsidRPr="00454F3E">
        <w:rPr>
          <w:sz w:val="28"/>
          <w:szCs w:val="28"/>
        </w:rPr>
        <w:t xml:space="preserve"> </w:t>
      </w:r>
      <w:r w:rsidR="00E50B21" w:rsidRPr="00454F3E">
        <w:rPr>
          <w:sz w:val="28"/>
          <w:szCs w:val="28"/>
        </w:rPr>
        <w:t>Cục trưởng Cục Thuế</w:t>
      </w:r>
      <w:r w:rsidR="006D58DA">
        <w:rPr>
          <w:sz w:val="28"/>
          <w:szCs w:val="28"/>
        </w:rPr>
        <w:t xml:space="preserve"> tỉnh</w:t>
      </w:r>
      <w:r w:rsidR="008F7D24" w:rsidRPr="00454F3E">
        <w:rPr>
          <w:sz w:val="28"/>
          <w:szCs w:val="28"/>
        </w:rPr>
        <w:t>; Chi cục trưởng Chi cục Thuế</w:t>
      </w:r>
      <w:r w:rsidR="00AC77C2" w:rsidRPr="00454F3E">
        <w:rPr>
          <w:sz w:val="28"/>
          <w:szCs w:val="28"/>
        </w:rPr>
        <w:t xml:space="preserve"> các huyện, thị xã, thành phố</w:t>
      </w:r>
      <w:r w:rsidRPr="00454F3E">
        <w:rPr>
          <w:sz w:val="28"/>
          <w:szCs w:val="28"/>
        </w:rPr>
        <w:t xml:space="preserve">; </w:t>
      </w:r>
      <w:r w:rsidR="008F7D24" w:rsidRPr="00454F3E">
        <w:rPr>
          <w:sz w:val="28"/>
          <w:szCs w:val="28"/>
        </w:rPr>
        <w:t>Giám đốc Kho bạc Nhà nước</w:t>
      </w:r>
      <w:r w:rsidR="00AC77C2" w:rsidRPr="00454F3E">
        <w:rPr>
          <w:sz w:val="28"/>
          <w:szCs w:val="28"/>
        </w:rPr>
        <w:t xml:space="preserve"> các cấp</w:t>
      </w:r>
      <w:r w:rsidR="00D05D8F" w:rsidRPr="00454F3E">
        <w:rPr>
          <w:sz w:val="28"/>
          <w:szCs w:val="28"/>
        </w:rPr>
        <w:t xml:space="preserve"> </w:t>
      </w:r>
      <w:r w:rsidR="00E50B21" w:rsidRPr="00454F3E">
        <w:rPr>
          <w:sz w:val="28"/>
          <w:szCs w:val="28"/>
        </w:rPr>
        <w:t xml:space="preserve">và </w:t>
      </w:r>
      <w:r w:rsidR="00E06108" w:rsidRPr="00454F3E">
        <w:rPr>
          <w:sz w:val="28"/>
          <w:szCs w:val="28"/>
        </w:rPr>
        <w:t>tổ chức</w:t>
      </w:r>
      <w:r w:rsidR="00E50B21" w:rsidRPr="00454F3E">
        <w:rPr>
          <w:sz w:val="28"/>
          <w:szCs w:val="28"/>
        </w:rPr>
        <w:t xml:space="preserve"> sử dụng đất</w:t>
      </w:r>
      <w:r w:rsidR="007E078D" w:rsidRPr="00454F3E">
        <w:rPr>
          <w:sz w:val="28"/>
          <w:szCs w:val="28"/>
        </w:rPr>
        <w:t>,</w:t>
      </w:r>
      <w:r w:rsidR="00E50B21" w:rsidRPr="00454F3E">
        <w:rPr>
          <w:sz w:val="28"/>
          <w:szCs w:val="28"/>
        </w:rPr>
        <w:t xml:space="preserve"> </w:t>
      </w:r>
      <w:r w:rsidR="007E078D" w:rsidRPr="00454F3E">
        <w:rPr>
          <w:sz w:val="28"/>
          <w:szCs w:val="28"/>
        </w:rPr>
        <w:t xml:space="preserve">sở hữu tài sản gắn liền với đất </w:t>
      </w:r>
      <w:r w:rsidRPr="00454F3E">
        <w:rPr>
          <w:sz w:val="28"/>
          <w:szCs w:val="28"/>
        </w:rPr>
        <w:t xml:space="preserve">chịu trách nhiệm thi hành </w:t>
      </w:r>
      <w:r w:rsidR="006D58DA">
        <w:rPr>
          <w:sz w:val="28"/>
          <w:szCs w:val="28"/>
        </w:rPr>
        <w:t>q</w:t>
      </w:r>
      <w:r w:rsidRPr="00454F3E">
        <w:rPr>
          <w:sz w:val="28"/>
          <w:szCs w:val="28"/>
        </w:rPr>
        <w:t>uyết định này</w:t>
      </w:r>
      <w:proofErr w:type="gramStart"/>
      <w:r w:rsidRPr="00454F3E">
        <w:rPr>
          <w:sz w:val="28"/>
          <w:szCs w:val="28"/>
        </w:rPr>
        <w:t>./</w:t>
      </w:r>
      <w:proofErr w:type="gramEnd"/>
      <w:r w:rsidRPr="00454F3E">
        <w:rPr>
          <w:sz w:val="28"/>
          <w:szCs w:val="28"/>
        </w:rPr>
        <w:t>.</w:t>
      </w:r>
    </w:p>
    <w:p w:rsidR="006023CE" w:rsidRPr="006023CE" w:rsidRDefault="006023CE" w:rsidP="00345E5E">
      <w:pPr>
        <w:spacing w:before="40"/>
        <w:ind w:firstLine="629"/>
        <w:jc w:val="both"/>
        <w:rPr>
          <w:sz w:val="18"/>
          <w:szCs w:val="28"/>
        </w:rPr>
      </w:pPr>
    </w:p>
    <w:tbl>
      <w:tblPr>
        <w:tblW w:w="9450" w:type="dxa"/>
        <w:tblInd w:w="250" w:type="dxa"/>
        <w:tblLook w:val="01E0" w:firstRow="1" w:lastRow="1" w:firstColumn="1" w:lastColumn="1" w:noHBand="0" w:noVBand="0"/>
      </w:tblPr>
      <w:tblGrid>
        <w:gridCol w:w="4788"/>
        <w:gridCol w:w="4662"/>
      </w:tblGrid>
      <w:tr w:rsidR="00083AD1" w:rsidRPr="00454F3E" w:rsidTr="006023CE">
        <w:tc>
          <w:tcPr>
            <w:tcW w:w="4788" w:type="dxa"/>
          </w:tcPr>
          <w:p w:rsidR="006F32DD" w:rsidRPr="00454F3E" w:rsidRDefault="00083AD1" w:rsidP="006023CE">
            <w:pPr>
              <w:rPr>
                <w:b/>
                <w:i/>
              </w:rPr>
            </w:pPr>
            <w:r w:rsidRPr="00454F3E">
              <w:rPr>
                <w:b/>
                <w:i/>
              </w:rPr>
              <w:t>Nơi nhận:</w:t>
            </w:r>
          </w:p>
          <w:p w:rsidR="006F32DD" w:rsidRPr="00454F3E" w:rsidRDefault="006F32DD" w:rsidP="006023CE">
            <w:pPr>
              <w:rPr>
                <w:sz w:val="22"/>
                <w:szCs w:val="22"/>
              </w:rPr>
            </w:pPr>
            <w:r w:rsidRPr="00454F3E">
              <w:rPr>
                <w:sz w:val="22"/>
                <w:szCs w:val="22"/>
              </w:rPr>
              <w:t>- Như Điều 3;</w:t>
            </w:r>
          </w:p>
          <w:p w:rsidR="006D58DA" w:rsidRDefault="00C960A8" w:rsidP="00F548BD">
            <w:pPr>
              <w:rPr>
                <w:sz w:val="22"/>
                <w:szCs w:val="22"/>
              </w:rPr>
            </w:pPr>
            <w:r w:rsidRPr="00454F3E">
              <w:rPr>
                <w:sz w:val="22"/>
                <w:szCs w:val="22"/>
              </w:rPr>
              <w:t>- Bộ Tài chính;</w:t>
            </w:r>
            <w:r w:rsidR="0049174E" w:rsidRPr="00454F3E">
              <w:rPr>
                <w:sz w:val="22"/>
                <w:szCs w:val="22"/>
              </w:rPr>
              <w:br/>
              <w:t>- Bộ Tài nguyên và Môi trường;</w:t>
            </w:r>
            <w:r w:rsidR="0049174E" w:rsidRPr="00454F3E">
              <w:rPr>
                <w:sz w:val="22"/>
                <w:szCs w:val="22"/>
              </w:rPr>
              <w:br/>
              <w:t>- Cục KSTTHC -VPCP;</w:t>
            </w:r>
            <w:r w:rsidR="0049174E" w:rsidRPr="00454F3E">
              <w:rPr>
                <w:sz w:val="22"/>
                <w:szCs w:val="22"/>
              </w:rPr>
              <w:br/>
              <w:t xml:space="preserve">- Cục </w:t>
            </w:r>
            <w:r w:rsidR="00F548BD" w:rsidRPr="00454F3E">
              <w:rPr>
                <w:sz w:val="22"/>
                <w:szCs w:val="22"/>
              </w:rPr>
              <w:t>KTVBQPPL</w:t>
            </w:r>
            <w:r w:rsidR="0049174E" w:rsidRPr="00454F3E">
              <w:rPr>
                <w:sz w:val="22"/>
                <w:szCs w:val="22"/>
              </w:rPr>
              <w:t xml:space="preserve"> - Bộ Tư pháp</w:t>
            </w:r>
            <w:r w:rsidR="00083AD1" w:rsidRPr="00454F3E">
              <w:rPr>
                <w:sz w:val="22"/>
                <w:szCs w:val="22"/>
              </w:rPr>
              <w:t>;</w:t>
            </w:r>
            <w:r w:rsidR="00083AD1" w:rsidRPr="00454F3E">
              <w:rPr>
                <w:sz w:val="22"/>
                <w:szCs w:val="22"/>
              </w:rPr>
              <w:br/>
            </w:r>
            <w:r w:rsidR="00B03E9C" w:rsidRPr="00454F3E">
              <w:rPr>
                <w:sz w:val="22"/>
                <w:szCs w:val="22"/>
              </w:rPr>
              <w:t xml:space="preserve">- </w:t>
            </w:r>
            <w:r w:rsidR="006D58DA">
              <w:rPr>
                <w:sz w:val="22"/>
                <w:szCs w:val="22"/>
              </w:rPr>
              <w:t>BTV.</w:t>
            </w:r>
            <w:r w:rsidR="00083AD1" w:rsidRPr="00454F3E">
              <w:rPr>
                <w:sz w:val="22"/>
                <w:szCs w:val="22"/>
              </w:rPr>
              <w:t xml:space="preserve">TU, </w:t>
            </w:r>
            <w:r w:rsidR="00B03E9C" w:rsidRPr="00454F3E">
              <w:rPr>
                <w:sz w:val="22"/>
                <w:szCs w:val="22"/>
              </w:rPr>
              <w:t>TT.</w:t>
            </w:r>
            <w:r w:rsidR="00083AD1" w:rsidRPr="00454F3E">
              <w:rPr>
                <w:sz w:val="22"/>
                <w:szCs w:val="22"/>
              </w:rPr>
              <w:t>HĐND tỉnh;</w:t>
            </w:r>
            <w:r w:rsidR="00083AD1" w:rsidRPr="00454F3E">
              <w:rPr>
                <w:sz w:val="22"/>
                <w:szCs w:val="22"/>
              </w:rPr>
              <w:br/>
              <w:t xml:space="preserve">- </w:t>
            </w:r>
            <w:r w:rsidR="006D58DA">
              <w:rPr>
                <w:sz w:val="22"/>
                <w:szCs w:val="22"/>
              </w:rPr>
              <w:t>CT, các PCT</w:t>
            </w:r>
            <w:r w:rsidR="001523F6" w:rsidRPr="00454F3E">
              <w:rPr>
                <w:sz w:val="22"/>
                <w:szCs w:val="22"/>
              </w:rPr>
              <w:t xml:space="preserve"> UBND tỉnh;</w:t>
            </w:r>
            <w:r w:rsidR="00083AD1" w:rsidRPr="00454F3E">
              <w:rPr>
                <w:sz w:val="22"/>
                <w:szCs w:val="22"/>
              </w:rPr>
              <w:br/>
              <w:t xml:space="preserve">- </w:t>
            </w:r>
            <w:r w:rsidR="006D58DA">
              <w:rPr>
                <w:sz w:val="22"/>
                <w:szCs w:val="22"/>
              </w:rPr>
              <w:t>Báo Long An; Đài PTTH Long An;</w:t>
            </w:r>
          </w:p>
          <w:p w:rsidR="006023CE" w:rsidRDefault="00083AD1" w:rsidP="00F548BD">
            <w:pPr>
              <w:rPr>
                <w:sz w:val="22"/>
                <w:szCs w:val="22"/>
              </w:rPr>
            </w:pPr>
            <w:r w:rsidRPr="00454F3E">
              <w:rPr>
                <w:sz w:val="22"/>
                <w:szCs w:val="22"/>
              </w:rPr>
              <w:t>- Cổng thông tin điện tử tỉnh;</w:t>
            </w:r>
          </w:p>
          <w:p w:rsidR="00083AD1" w:rsidRPr="00454F3E" w:rsidRDefault="006023CE" w:rsidP="006D58DA">
            <w:pPr>
              <w:rPr>
                <w:b/>
                <w:sz w:val="28"/>
                <w:szCs w:val="28"/>
              </w:rPr>
            </w:pPr>
            <w:r>
              <w:rPr>
                <w:sz w:val="22"/>
                <w:szCs w:val="22"/>
              </w:rPr>
              <w:t>- Phòng KT</w:t>
            </w:r>
            <w:r w:rsidRPr="006023CE">
              <w:rPr>
                <w:sz w:val="22"/>
                <w:szCs w:val="22"/>
                <w:vertAlign w:val="subscript"/>
              </w:rPr>
              <w:t>1</w:t>
            </w:r>
            <w:proofErr w:type="gramStart"/>
            <w:r w:rsidR="006D58DA">
              <w:rPr>
                <w:sz w:val="22"/>
                <w:szCs w:val="22"/>
              </w:rPr>
              <w:t>,TH</w:t>
            </w:r>
            <w:proofErr w:type="gramEnd"/>
            <w:r>
              <w:rPr>
                <w:sz w:val="22"/>
                <w:szCs w:val="22"/>
              </w:rPr>
              <w:t>;</w:t>
            </w:r>
            <w:r w:rsidR="00083AD1" w:rsidRPr="00454F3E">
              <w:rPr>
                <w:sz w:val="22"/>
                <w:szCs w:val="22"/>
              </w:rPr>
              <w:br/>
              <w:t xml:space="preserve">- Lưu: VT, </w:t>
            </w:r>
            <w:r w:rsidR="001523F6" w:rsidRPr="00454F3E">
              <w:rPr>
                <w:sz w:val="22"/>
                <w:szCs w:val="22"/>
              </w:rPr>
              <w:t>STNMT.</w:t>
            </w:r>
            <w:r>
              <w:rPr>
                <w:sz w:val="22"/>
                <w:szCs w:val="22"/>
              </w:rPr>
              <w:t>MB.</w:t>
            </w:r>
          </w:p>
        </w:tc>
        <w:tc>
          <w:tcPr>
            <w:tcW w:w="4662" w:type="dxa"/>
          </w:tcPr>
          <w:p w:rsidR="00644BD7" w:rsidRDefault="00083AD1" w:rsidP="00644BD7">
            <w:pPr>
              <w:jc w:val="center"/>
              <w:rPr>
                <w:b/>
                <w:sz w:val="28"/>
                <w:szCs w:val="28"/>
              </w:rPr>
            </w:pPr>
            <w:r w:rsidRPr="00454F3E">
              <w:rPr>
                <w:b/>
                <w:sz w:val="28"/>
                <w:szCs w:val="28"/>
              </w:rPr>
              <w:t>TM</w:t>
            </w:r>
            <w:r w:rsidR="006023CE">
              <w:rPr>
                <w:b/>
                <w:sz w:val="28"/>
                <w:szCs w:val="28"/>
              </w:rPr>
              <w:t xml:space="preserve">. </w:t>
            </w:r>
            <w:r w:rsidRPr="00454F3E">
              <w:rPr>
                <w:b/>
                <w:sz w:val="28"/>
                <w:szCs w:val="28"/>
              </w:rPr>
              <w:t>ỦY BAN NHÂN DÂN</w:t>
            </w:r>
            <w:r w:rsidRPr="00454F3E">
              <w:rPr>
                <w:b/>
                <w:sz w:val="28"/>
                <w:szCs w:val="28"/>
              </w:rPr>
              <w:br/>
              <w:t>CHỦ TỊCH</w:t>
            </w:r>
          </w:p>
          <w:p w:rsidR="00644BD7" w:rsidRDefault="00644BD7" w:rsidP="00644BD7">
            <w:pPr>
              <w:jc w:val="center"/>
              <w:rPr>
                <w:sz w:val="28"/>
                <w:szCs w:val="28"/>
              </w:rPr>
            </w:pPr>
            <w:r>
              <w:rPr>
                <w:sz w:val="28"/>
                <w:szCs w:val="28"/>
              </w:rPr>
              <w:t>(đã ký)</w:t>
            </w:r>
          </w:p>
          <w:p w:rsidR="00644BD7" w:rsidRDefault="00644BD7" w:rsidP="006023CE">
            <w:pPr>
              <w:spacing w:after="120"/>
              <w:jc w:val="center"/>
              <w:rPr>
                <w:sz w:val="28"/>
                <w:szCs w:val="28"/>
              </w:rPr>
            </w:pPr>
          </w:p>
          <w:p w:rsidR="00083AD1" w:rsidRPr="00454F3E" w:rsidRDefault="00644BD7" w:rsidP="006023CE">
            <w:pPr>
              <w:spacing w:after="120"/>
              <w:jc w:val="center"/>
              <w:rPr>
                <w:b/>
                <w:sz w:val="28"/>
                <w:szCs w:val="28"/>
              </w:rPr>
            </w:pPr>
            <w:r>
              <w:rPr>
                <w:b/>
                <w:sz w:val="28"/>
                <w:szCs w:val="28"/>
              </w:rPr>
              <w:t>Trần Văn Cần</w:t>
            </w:r>
            <w:r w:rsidR="00083AD1" w:rsidRPr="00454F3E">
              <w:rPr>
                <w:b/>
                <w:sz w:val="28"/>
                <w:szCs w:val="28"/>
              </w:rPr>
              <w:br/>
            </w:r>
            <w:r w:rsidR="00083AD1" w:rsidRPr="00454F3E">
              <w:rPr>
                <w:b/>
                <w:sz w:val="28"/>
                <w:szCs w:val="28"/>
              </w:rPr>
              <w:br/>
            </w:r>
            <w:r w:rsidR="00083AD1" w:rsidRPr="00454F3E">
              <w:rPr>
                <w:b/>
                <w:sz w:val="28"/>
                <w:szCs w:val="28"/>
              </w:rPr>
              <w:br/>
            </w:r>
            <w:r w:rsidR="00083AD1" w:rsidRPr="00454F3E">
              <w:rPr>
                <w:b/>
                <w:sz w:val="28"/>
                <w:szCs w:val="28"/>
              </w:rPr>
              <w:br/>
            </w:r>
          </w:p>
        </w:tc>
      </w:tr>
    </w:tbl>
    <w:p w:rsidR="00FF6402" w:rsidRPr="00454F3E" w:rsidRDefault="00FF6402" w:rsidP="00083AD1">
      <w:pPr>
        <w:spacing w:after="120"/>
        <w:jc w:val="center"/>
        <w:rPr>
          <w:rFonts w:ascii="Arial" w:hAnsi="Arial" w:cs="Arial"/>
          <w:b/>
          <w:sz w:val="28"/>
          <w:szCs w:val="28"/>
        </w:rPr>
      </w:pPr>
    </w:p>
    <w:p w:rsidR="00EE79EF" w:rsidRDefault="00EE79EF" w:rsidP="0087310F">
      <w:pPr>
        <w:spacing w:before="120" w:after="120"/>
        <w:rPr>
          <w:b/>
          <w:sz w:val="28"/>
          <w:szCs w:val="28"/>
        </w:rPr>
        <w:sectPr w:rsidR="00EE79EF" w:rsidSect="006023CE">
          <w:footerReference w:type="default" r:id="rId8"/>
          <w:pgSz w:w="11907" w:h="16839" w:code="9"/>
          <w:pgMar w:top="851" w:right="1134" w:bottom="1440" w:left="1701" w:header="720" w:footer="214" w:gutter="0"/>
          <w:cols w:space="720"/>
          <w:titlePg/>
          <w:docGrid w:linePitch="360"/>
        </w:sectPr>
      </w:pPr>
    </w:p>
    <w:tbl>
      <w:tblPr>
        <w:tblW w:w="10015" w:type="dxa"/>
        <w:tblInd w:w="-318" w:type="dxa"/>
        <w:tblLook w:val="01E0" w:firstRow="1" w:lastRow="1" w:firstColumn="1" w:lastColumn="1" w:noHBand="0" w:noVBand="0"/>
      </w:tblPr>
      <w:tblGrid>
        <w:gridCol w:w="3687"/>
        <w:gridCol w:w="6328"/>
      </w:tblGrid>
      <w:tr w:rsidR="00EE79EF" w:rsidRPr="000809D6" w:rsidTr="00AE0182">
        <w:trPr>
          <w:trHeight w:val="1276"/>
        </w:trPr>
        <w:tc>
          <w:tcPr>
            <w:tcW w:w="3687" w:type="dxa"/>
          </w:tcPr>
          <w:p w:rsidR="00EE79EF" w:rsidRPr="00644BD7" w:rsidRDefault="00EE79EF" w:rsidP="00E50BE5">
            <w:pPr>
              <w:spacing w:before="120" w:after="120"/>
              <w:jc w:val="center"/>
              <w:rPr>
                <w:b/>
                <w:sz w:val="26"/>
                <w:szCs w:val="26"/>
              </w:rPr>
            </w:pPr>
            <w:r w:rsidRPr="00644BD7">
              <w:rPr>
                <w:b/>
                <w:sz w:val="26"/>
                <w:szCs w:val="26"/>
              </w:rPr>
              <w:t>ỦY BAN NHÂN DÂN</w:t>
            </w:r>
            <w:r w:rsidRPr="00644BD7">
              <w:rPr>
                <w:b/>
                <w:sz w:val="26"/>
                <w:szCs w:val="26"/>
              </w:rPr>
              <w:br/>
              <w:t>TỈNH LONG AN</w:t>
            </w:r>
          </w:p>
          <w:p w:rsidR="00EE79EF" w:rsidRPr="000809D6" w:rsidRDefault="00EE79EF" w:rsidP="00E50BE5">
            <w:pPr>
              <w:spacing w:before="120" w:after="120"/>
              <w:jc w:val="center"/>
              <w:rPr>
                <w:b/>
                <w:vertAlign w:val="superscript"/>
              </w:rPr>
            </w:pPr>
            <w:r w:rsidRPr="000809D6">
              <w:rPr>
                <w:b/>
                <w:sz w:val="16"/>
                <w:szCs w:val="16"/>
                <w:vertAlign w:val="superscript"/>
              </w:rPr>
              <w:t>_________________</w:t>
            </w:r>
          </w:p>
          <w:p w:rsidR="00EE79EF" w:rsidRPr="000809D6" w:rsidRDefault="00EE79EF" w:rsidP="00E50BE5">
            <w:pPr>
              <w:spacing w:before="120" w:after="120"/>
              <w:jc w:val="center"/>
              <w:rPr>
                <w:b/>
              </w:rPr>
            </w:pPr>
          </w:p>
        </w:tc>
        <w:tc>
          <w:tcPr>
            <w:tcW w:w="6328" w:type="dxa"/>
          </w:tcPr>
          <w:p w:rsidR="00EE79EF" w:rsidRPr="00644BD7" w:rsidRDefault="00EE79EF" w:rsidP="00481F56">
            <w:pPr>
              <w:spacing w:before="120" w:after="120"/>
              <w:ind w:right="-17"/>
              <w:jc w:val="center"/>
              <w:rPr>
                <w:b/>
                <w:sz w:val="28"/>
              </w:rPr>
            </w:pPr>
            <w:r w:rsidRPr="00644BD7">
              <w:rPr>
                <w:b/>
                <w:sz w:val="28"/>
              </w:rPr>
              <w:t>CỘNG HÒA XÃ HỘI CHỦ NGHĨA VIỆT NAM</w:t>
            </w:r>
            <w:r w:rsidRPr="00644BD7">
              <w:rPr>
                <w:b/>
                <w:sz w:val="28"/>
              </w:rPr>
              <w:br/>
              <w:t xml:space="preserve"> Độc lập - Tự do - Hạnh phúc</w:t>
            </w:r>
          </w:p>
          <w:p w:rsidR="00EE79EF" w:rsidRPr="000809D6" w:rsidRDefault="00EE79EF" w:rsidP="00481F56">
            <w:pPr>
              <w:spacing w:before="120" w:after="120"/>
              <w:ind w:right="-17"/>
              <w:jc w:val="center"/>
            </w:pPr>
            <w:r w:rsidRPr="000809D6">
              <w:rPr>
                <w:b/>
                <w:sz w:val="16"/>
                <w:szCs w:val="16"/>
              </w:rPr>
              <w:t xml:space="preserve"> ______________________________________</w:t>
            </w:r>
          </w:p>
        </w:tc>
      </w:tr>
    </w:tbl>
    <w:p w:rsidR="00EE79EF" w:rsidRPr="00644BD7" w:rsidRDefault="00EE79EF" w:rsidP="009B201F">
      <w:pPr>
        <w:spacing w:before="120" w:after="120"/>
        <w:jc w:val="center"/>
        <w:rPr>
          <w:sz w:val="28"/>
        </w:rPr>
      </w:pPr>
      <w:r w:rsidRPr="00644BD7">
        <w:rPr>
          <w:b/>
          <w:sz w:val="28"/>
        </w:rPr>
        <w:t>QUY TRÌNH</w:t>
      </w:r>
    </w:p>
    <w:p w:rsidR="00EE79EF" w:rsidRPr="00644BD7" w:rsidRDefault="00EE79EF" w:rsidP="00582BEE">
      <w:pPr>
        <w:jc w:val="center"/>
        <w:rPr>
          <w:b/>
          <w:sz w:val="28"/>
        </w:rPr>
      </w:pPr>
      <w:r w:rsidRPr="00644BD7">
        <w:rPr>
          <w:b/>
          <w:sz w:val="28"/>
        </w:rPr>
        <w:t xml:space="preserve">Luân chuyển hồ sơ xác định nghĩa vụ tài chính về đất </w:t>
      </w:r>
      <w:proofErr w:type="gramStart"/>
      <w:r w:rsidRPr="00644BD7">
        <w:rPr>
          <w:b/>
          <w:sz w:val="28"/>
        </w:rPr>
        <w:t>đai</w:t>
      </w:r>
      <w:proofErr w:type="gramEnd"/>
      <w:r w:rsidRPr="00644BD7">
        <w:rPr>
          <w:b/>
          <w:sz w:val="28"/>
        </w:rPr>
        <w:t xml:space="preserve"> </w:t>
      </w:r>
    </w:p>
    <w:p w:rsidR="00EE79EF" w:rsidRPr="00644BD7" w:rsidRDefault="00EE79EF" w:rsidP="00582BEE">
      <w:pPr>
        <w:jc w:val="center"/>
        <w:rPr>
          <w:b/>
          <w:sz w:val="28"/>
        </w:rPr>
      </w:pPr>
      <w:proofErr w:type="gramStart"/>
      <w:r w:rsidRPr="00644BD7">
        <w:rPr>
          <w:b/>
          <w:sz w:val="28"/>
        </w:rPr>
        <w:t>của</w:t>
      </w:r>
      <w:proofErr w:type="gramEnd"/>
      <w:r w:rsidRPr="00644BD7">
        <w:rPr>
          <w:b/>
          <w:sz w:val="28"/>
        </w:rPr>
        <w:t xml:space="preserve"> tổ chức sử dụng đất trên địa bàn tỉnh Long An</w:t>
      </w:r>
    </w:p>
    <w:p w:rsidR="00EE79EF" w:rsidRPr="00644BD7" w:rsidRDefault="00EE79EF" w:rsidP="00E93E11">
      <w:pPr>
        <w:jc w:val="center"/>
        <w:rPr>
          <w:i/>
          <w:sz w:val="28"/>
        </w:rPr>
      </w:pPr>
      <w:r w:rsidRPr="00644BD7">
        <w:rPr>
          <w:i/>
          <w:sz w:val="28"/>
        </w:rPr>
        <w:t xml:space="preserve">(Ban hành kèm theo Quyết định </w:t>
      </w:r>
      <w:proofErr w:type="gramStart"/>
      <w:r w:rsidRPr="00644BD7">
        <w:rPr>
          <w:i/>
          <w:sz w:val="28"/>
        </w:rPr>
        <w:t xml:space="preserve">số </w:t>
      </w:r>
      <w:r w:rsidR="00644BD7" w:rsidRPr="00644BD7">
        <w:rPr>
          <w:i/>
          <w:sz w:val="28"/>
        </w:rPr>
        <w:t xml:space="preserve"> 34</w:t>
      </w:r>
      <w:proofErr w:type="gramEnd"/>
      <w:r w:rsidRPr="00644BD7">
        <w:rPr>
          <w:i/>
          <w:sz w:val="28"/>
        </w:rPr>
        <w:t xml:space="preserve"> /2017/QĐ-UBND ngày</w:t>
      </w:r>
      <w:r w:rsidR="00644BD7" w:rsidRPr="00644BD7">
        <w:rPr>
          <w:i/>
          <w:sz w:val="28"/>
        </w:rPr>
        <w:t xml:space="preserve"> 20</w:t>
      </w:r>
      <w:r w:rsidRPr="00644BD7">
        <w:rPr>
          <w:i/>
          <w:sz w:val="28"/>
        </w:rPr>
        <w:t xml:space="preserve"> /7/2017 </w:t>
      </w:r>
    </w:p>
    <w:p w:rsidR="00EE79EF" w:rsidRPr="00644BD7" w:rsidRDefault="00EE79EF" w:rsidP="0069469C">
      <w:pPr>
        <w:jc w:val="center"/>
        <w:rPr>
          <w:i/>
          <w:sz w:val="28"/>
        </w:rPr>
      </w:pPr>
      <w:proofErr w:type="gramStart"/>
      <w:r w:rsidRPr="00644BD7">
        <w:rPr>
          <w:i/>
          <w:sz w:val="28"/>
        </w:rPr>
        <w:t>của</w:t>
      </w:r>
      <w:proofErr w:type="gramEnd"/>
      <w:r w:rsidRPr="00644BD7">
        <w:rPr>
          <w:i/>
          <w:sz w:val="28"/>
        </w:rPr>
        <w:t xml:space="preserve"> Ủy ban nhân dân tỉnh Long An)</w:t>
      </w:r>
    </w:p>
    <w:p w:rsidR="00EE79EF" w:rsidRPr="00644BD7" w:rsidRDefault="00EE79EF" w:rsidP="009B201F">
      <w:pPr>
        <w:spacing w:before="120" w:after="120"/>
        <w:jc w:val="center"/>
        <w:rPr>
          <w:b/>
          <w:sz w:val="28"/>
          <w:vertAlign w:val="superscript"/>
        </w:rPr>
      </w:pPr>
      <w:r w:rsidRPr="00644BD7">
        <w:rPr>
          <w:b/>
          <w:sz w:val="28"/>
          <w:vertAlign w:val="superscript"/>
        </w:rPr>
        <w:t>__________________________________________</w:t>
      </w:r>
    </w:p>
    <w:p w:rsidR="00EE79EF" w:rsidRPr="00644BD7" w:rsidRDefault="00EE79EF" w:rsidP="009B201F">
      <w:pPr>
        <w:spacing w:before="120" w:after="120"/>
        <w:jc w:val="center"/>
        <w:rPr>
          <w:sz w:val="28"/>
        </w:rPr>
      </w:pPr>
      <w:r w:rsidRPr="00644BD7">
        <w:rPr>
          <w:b/>
          <w:sz w:val="28"/>
        </w:rPr>
        <w:t>Chương I</w:t>
      </w:r>
    </w:p>
    <w:p w:rsidR="00EE79EF" w:rsidRPr="00644BD7" w:rsidRDefault="00EE79EF" w:rsidP="009B201F">
      <w:pPr>
        <w:spacing w:before="120" w:after="120"/>
        <w:jc w:val="center"/>
        <w:rPr>
          <w:sz w:val="28"/>
        </w:rPr>
      </w:pPr>
      <w:r w:rsidRPr="00644BD7">
        <w:rPr>
          <w:b/>
          <w:sz w:val="28"/>
        </w:rPr>
        <w:t>NHỮNG QUY ĐỊNH CHUNG</w:t>
      </w:r>
    </w:p>
    <w:p w:rsidR="00EE79EF" w:rsidRPr="00644BD7" w:rsidRDefault="00EE79EF" w:rsidP="009F1709">
      <w:pPr>
        <w:spacing w:before="120" w:after="120"/>
        <w:ind w:firstLine="720"/>
        <w:jc w:val="both"/>
        <w:rPr>
          <w:sz w:val="28"/>
        </w:rPr>
      </w:pPr>
      <w:proofErr w:type="gramStart"/>
      <w:r w:rsidRPr="00644BD7">
        <w:rPr>
          <w:b/>
          <w:sz w:val="28"/>
        </w:rPr>
        <w:t>Điều 1.</w:t>
      </w:r>
      <w:proofErr w:type="gramEnd"/>
      <w:r w:rsidRPr="00644BD7">
        <w:rPr>
          <w:b/>
          <w:sz w:val="28"/>
        </w:rPr>
        <w:t xml:space="preserve"> Phạm </w:t>
      </w:r>
      <w:proofErr w:type="gramStart"/>
      <w:r w:rsidRPr="00644BD7">
        <w:rPr>
          <w:b/>
          <w:sz w:val="28"/>
        </w:rPr>
        <w:t>vi</w:t>
      </w:r>
      <w:proofErr w:type="gramEnd"/>
      <w:r w:rsidRPr="00644BD7">
        <w:rPr>
          <w:b/>
          <w:sz w:val="28"/>
        </w:rPr>
        <w:t xml:space="preserve"> điều chỉnh</w:t>
      </w:r>
    </w:p>
    <w:p w:rsidR="00EE79EF" w:rsidRPr="00644BD7" w:rsidRDefault="00EE79EF" w:rsidP="009F1709">
      <w:pPr>
        <w:spacing w:before="120" w:after="120"/>
        <w:ind w:firstLine="720"/>
        <w:jc w:val="both"/>
        <w:rPr>
          <w:sz w:val="28"/>
        </w:rPr>
      </w:pPr>
      <w:r w:rsidRPr="00644BD7">
        <w:rPr>
          <w:sz w:val="28"/>
        </w:rPr>
        <w:t>Quy trình này quy định về quy trình luân chuyển hồ sơ để xác định, thu nộp tiền sử dụng đất, tiền thuê đất theo quy định của pháp luật đất đai và các khoản thuế, phí, lệ phí khác liên quan đến sử dụng đất đai của tổ chức sử dụng đất, sở hữu tài sản gắn liền với đất trên địa bàn tỉnh Long An.</w:t>
      </w:r>
    </w:p>
    <w:p w:rsidR="00EE79EF" w:rsidRPr="00644BD7" w:rsidRDefault="00EE79EF" w:rsidP="009F1709">
      <w:pPr>
        <w:spacing w:before="120" w:after="120"/>
        <w:ind w:firstLine="720"/>
        <w:jc w:val="both"/>
        <w:rPr>
          <w:sz w:val="28"/>
        </w:rPr>
      </w:pPr>
      <w:proofErr w:type="gramStart"/>
      <w:r w:rsidRPr="00644BD7">
        <w:rPr>
          <w:b/>
          <w:sz w:val="28"/>
        </w:rPr>
        <w:t>Điều 2.</w:t>
      </w:r>
      <w:proofErr w:type="gramEnd"/>
      <w:r w:rsidRPr="00644BD7">
        <w:rPr>
          <w:b/>
          <w:sz w:val="28"/>
        </w:rPr>
        <w:t xml:space="preserve"> Đối tượng áp dụng</w:t>
      </w:r>
    </w:p>
    <w:p w:rsidR="00EE79EF" w:rsidRPr="00644BD7" w:rsidRDefault="00EE79EF" w:rsidP="009F1709">
      <w:pPr>
        <w:spacing w:before="120" w:after="120"/>
        <w:ind w:firstLine="720"/>
        <w:jc w:val="both"/>
        <w:rPr>
          <w:sz w:val="28"/>
        </w:rPr>
      </w:pPr>
      <w:r w:rsidRPr="00644BD7">
        <w:rPr>
          <w:sz w:val="28"/>
          <w:lang w:eastAsia="vi-VN"/>
        </w:rPr>
        <w:t>Sở Tài nguyên và Môi trường; Sở T</w:t>
      </w:r>
      <w:r w:rsidRPr="00644BD7">
        <w:rPr>
          <w:sz w:val="28"/>
          <w:lang w:val="vi-VN" w:eastAsia="vi-VN"/>
        </w:rPr>
        <w:t>ài</w:t>
      </w:r>
      <w:r w:rsidRPr="00644BD7">
        <w:rPr>
          <w:sz w:val="28"/>
          <w:lang w:eastAsia="vi-VN"/>
        </w:rPr>
        <w:t xml:space="preserve"> chính;</w:t>
      </w:r>
      <w:r w:rsidRPr="00644BD7">
        <w:rPr>
          <w:sz w:val="28"/>
          <w:lang w:val="vi-VN" w:eastAsia="vi-VN"/>
        </w:rPr>
        <w:t xml:space="preserve"> </w:t>
      </w:r>
      <w:r w:rsidRPr="00644BD7">
        <w:rPr>
          <w:sz w:val="28"/>
          <w:lang w:eastAsia="vi-VN"/>
        </w:rPr>
        <w:t>cơ quan thuế (Cục T</w:t>
      </w:r>
      <w:r w:rsidRPr="00644BD7">
        <w:rPr>
          <w:sz w:val="28"/>
          <w:lang w:val="vi-VN" w:eastAsia="vi-VN"/>
        </w:rPr>
        <w:t>huế,</w:t>
      </w:r>
      <w:r w:rsidRPr="00644BD7">
        <w:rPr>
          <w:sz w:val="28"/>
          <w:lang w:eastAsia="vi-VN"/>
        </w:rPr>
        <w:t xml:space="preserve"> Chi cục Thuế các huyện, thị xã, thành phố);</w:t>
      </w:r>
      <w:r w:rsidRPr="00644BD7">
        <w:rPr>
          <w:sz w:val="28"/>
          <w:lang w:val="vi-VN" w:eastAsia="vi-VN"/>
        </w:rPr>
        <w:t xml:space="preserve"> </w:t>
      </w:r>
      <w:r w:rsidRPr="00644BD7">
        <w:rPr>
          <w:sz w:val="28"/>
          <w:lang w:eastAsia="vi-VN"/>
        </w:rPr>
        <w:t>K</w:t>
      </w:r>
      <w:r w:rsidRPr="00644BD7">
        <w:rPr>
          <w:sz w:val="28"/>
          <w:lang w:val="vi-VN" w:eastAsia="vi-VN"/>
        </w:rPr>
        <w:t xml:space="preserve">ho bạc </w:t>
      </w:r>
      <w:r w:rsidRPr="00644BD7">
        <w:rPr>
          <w:sz w:val="28"/>
          <w:lang w:eastAsia="vi-VN"/>
        </w:rPr>
        <w:t>N</w:t>
      </w:r>
      <w:r w:rsidRPr="00644BD7">
        <w:rPr>
          <w:sz w:val="28"/>
          <w:lang w:val="vi-VN" w:eastAsia="vi-VN"/>
        </w:rPr>
        <w:t>hà nước</w:t>
      </w:r>
      <w:r w:rsidRPr="00644BD7">
        <w:rPr>
          <w:sz w:val="28"/>
          <w:lang w:eastAsia="vi-VN"/>
        </w:rPr>
        <w:t xml:space="preserve"> các cấp; Văn phòng đăng ký đất đai; Trung tâm Phục vụ hành chính công tỉnh; tổ chức</w:t>
      </w:r>
      <w:r w:rsidRPr="00644BD7">
        <w:rPr>
          <w:sz w:val="28"/>
          <w:lang w:val="vi-VN" w:eastAsia="vi-VN"/>
        </w:rPr>
        <w:t xml:space="preserve"> sử dụng đất, sở hữu tài sản gắn liền với đất</w:t>
      </w:r>
      <w:r w:rsidRPr="00644BD7">
        <w:rPr>
          <w:sz w:val="28"/>
          <w:lang w:eastAsia="vi-VN"/>
        </w:rPr>
        <w:t>; các c</w:t>
      </w:r>
      <w:r w:rsidRPr="00644BD7">
        <w:rPr>
          <w:sz w:val="28"/>
          <w:lang w:val="vi-VN" w:eastAsia="vi-VN"/>
        </w:rPr>
        <w:t>ơ quan, tổ chức</w:t>
      </w:r>
      <w:r w:rsidRPr="00644BD7">
        <w:rPr>
          <w:sz w:val="28"/>
          <w:lang w:eastAsia="vi-VN"/>
        </w:rPr>
        <w:t xml:space="preserve"> </w:t>
      </w:r>
      <w:r w:rsidRPr="00644BD7">
        <w:rPr>
          <w:sz w:val="28"/>
          <w:lang w:val="vi-VN" w:eastAsia="vi-VN"/>
        </w:rPr>
        <w:t>khác có liên quan.</w:t>
      </w:r>
    </w:p>
    <w:p w:rsidR="00EE79EF" w:rsidRPr="00644BD7" w:rsidRDefault="00EE79EF" w:rsidP="009F1709">
      <w:pPr>
        <w:spacing w:before="120" w:after="120"/>
        <w:ind w:firstLine="720"/>
        <w:jc w:val="both"/>
        <w:rPr>
          <w:sz w:val="28"/>
        </w:rPr>
      </w:pPr>
      <w:proofErr w:type="gramStart"/>
      <w:r w:rsidRPr="00644BD7">
        <w:rPr>
          <w:b/>
          <w:sz w:val="28"/>
        </w:rPr>
        <w:t>Điều 3.</w:t>
      </w:r>
      <w:proofErr w:type="gramEnd"/>
      <w:r w:rsidRPr="00644BD7">
        <w:rPr>
          <w:b/>
          <w:sz w:val="28"/>
        </w:rPr>
        <w:t xml:space="preserve"> Nguyên tắc luân chuyển hồ sơ</w:t>
      </w:r>
    </w:p>
    <w:p w:rsidR="00EE79EF" w:rsidRPr="00644BD7" w:rsidRDefault="00EE79EF" w:rsidP="009F1709">
      <w:pPr>
        <w:spacing w:before="120" w:after="120"/>
        <w:ind w:firstLine="720"/>
        <w:jc w:val="both"/>
        <w:rPr>
          <w:sz w:val="28"/>
        </w:rPr>
      </w:pPr>
      <w:r w:rsidRPr="00644BD7">
        <w:rPr>
          <w:sz w:val="28"/>
        </w:rPr>
        <w:t>1. Trình tự, thủ tục, hồ sơ trong quy trình luân chuyển phải rõ ràng, chính xác, công khai, minh bạch; tạo điều kiện thuận lợi cho tổ chức có yêu cầu.</w:t>
      </w:r>
    </w:p>
    <w:p w:rsidR="00EE79EF" w:rsidRPr="00644BD7" w:rsidRDefault="00EE79EF" w:rsidP="009F1709">
      <w:pPr>
        <w:spacing w:before="120" w:after="120"/>
        <w:ind w:firstLine="720"/>
        <w:jc w:val="both"/>
        <w:rPr>
          <w:sz w:val="28"/>
        </w:rPr>
      </w:pPr>
      <w:r w:rsidRPr="00644BD7">
        <w:rPr>
          <w:sz w:val="28"/>
        </w:rPr>
        <w:t>2. Đảm bảo tính chặt chẽ, thống nhất, đồng bộ và tuân thủ pháp luật giữa các cơ quan chức năng trong thực hiện quy trình luân chuyển.</w:t>
      </w:r>
    </w:p>
    <w:p w:rsidR="00EE79EF" w:rsidRPr="00644BD7" w:rsidRDefault="00EE79EF" w:rsidP="009F1709">
      <w:pPr>
        <w:spacing w:before="120" w:after="120"/>
        <w:jc w:val="center"/>
        <w:rPr>
          <w:b/>
          <w:sz w:val="28"/>
        </w:rPr>
      </w:pPr>
      <w:r w:rsidRPr="00644BD7">
        <w:rPr>
          <w:b/>
          <w:sz w:val="28"/>
        </w:rPr>
        <w:t>Chương II</w:t>
      </w:r>
    </w:p>
    <w:p w:rsidR="00EE79EF" w:rsidRPr="00644BD7" w:rsidRDefault="00EE79EF" w:rsidP="009F1709">
      <w:pPr>
        <w:spacing w:before="120" w:after="120"/>
        <w:jc w:val="center"/>
        <w:rPr>
          <w:b/>
          <w:sz w:val="28"/>
        </w:rPr>
      </w:pPr>
      <w:r w:rsidRPr="00644BD7">
        <w:rPr>
          <w:b/>
          <w:sz w:val="28"/>
        </w:rPr>
        <w:t>QUY ĐỊNH CỤ THỂ</w:t>
      </w:r>
    </w:p>
    <w:p w:rsidR="00EE79EF" w:rsidRPr="00644BD7" w:rsidRDefault="00EE79EF" w:rsidP="009F1709">
      <w:pPr>
        <w:spacing w:before="120" w:after="120"/>
        <w:jc w:val="center"/>
        <w:rPr>
          <w:b/>
          <w:sz w:val="28"/>
        </w:rPr>
      </w:pPr>
      <w:r w:rsidRPr="00644BD7">
        <w:rPr>
          <w:b/>
          <w:sz w:val="28"/>
        </w:rPr>
        <w:t>Mục 1</w:t>
      </w:r>
    </w:p>
    <w:p w:rsidR="00EE79EF" w:rsidRPr="00644BD7" w:rsidRDefault="00EE79EF" w:rsidP="009F1709">
      <w:pPr>
        <w:spacing w:before="120" w:after="120"/>
        <w:ind w:left="709" w:hanging="709"/>
        <w:jc w:val="center"/>
        <w:rPr>
          <w:b/>
          <w:spacing w:val="-2"/>
          <w:sz w:val="28"/>
        </w:rPr>
      </w:pPr>
      <w:r w:rsidRPr="00644BD7">
        <w:rPr>
          <w:b/>
          <w:spacing w:val="-2"/>
          <w:sz w:val="28"/>
        </w:rPr>
        <w:t>QUY ĐỊNH VỀ HỒ SƠ XÁC ĐỊNH NGHĨA VỤ TÀI CHÍNH VỀ ĐẤT ĐAI</w:t>
      </w:r>
    </w:p>
    <w:p w:rsidR="00EE79EF" w:rsidRPr="00644BD7" w:rsidRDefault="00EE79EF" w:rsidP="009F1709">
      <w:pPr>
        <w:shd w:val="clear" w:color="auto" w:fill="FFFFFF"/>
        <w:spacing w:before="120" w:after="120"/>
        <w:ind w:firstLine="720"/>
        <w:rPr>
          <w:b/>
          <w:bCs/>
          <w:sz w:val="28"/>
        </w:rPr>
      </w:pPr>
      <w:bookmarkStart w:id="1" w:name="dieu_9"/>
      <w:proofErr w:type="gramStart"/>
      <w:r w:rsidRPr="00644BD7">
        <w:rPr>
          <w:b/>
          <w:bCs/>
          <w:sz w:val="28"/>
        </w:rPr>
        <w:t>Điều 4.</w:t>
      </w:r>
      <w:proofErr w:type="gramEnd"/>
      <w:r w:rsidRPr="00644BD7">
        <w:rPr>
          <w:b/>
          <w:bCs/>
          <w:sz w:val="28"/>
        </w:rPr>
        <w:t xml:space="preserve"> Hồ sơ thực hiện nghĩa vụ tài chính về đất </w:t>
      </w:r>
      <w:proofErr w:type="gramStart"/>
      <w:r w:rsidRPr="00644BD7">
        <w:rPr>
          <w:b/>
          <w:bCs/>
          <w:sz w:val="28"/>
        </w:rPr>
        <w:t>đai</w:t>
      </w:r>
      <w:proofErr w:type="gramEnd"/>
    </w:p>
    <w:p w:rsidR="00EE79EF" w:rsidRPr="00644BD7" w:rsidRDefault="00EE79EF" w:rsidP="009F1709">
      <w:pPr>
        <w:shd w:val="clear" w:color="auto" w:fill="FFFFFF"/>
        <w:spacing w:before="120" w:after="120"/>
        <w:ind w:firstLine="720"/>
        <w:jc w:val="both"/>
        <w:rPr>
          <w:bCs/>
          <w:sz w:val="28"/>
        </w:rPr>
      </w:pPr>
      <w:r w:rsidRPr="00644BD7">
        <w:rPr>
          <w:bCs/>
          <w:sz w:val="28"/>
        </w:rPr>
        <w:t xml:space="preserve">1. Các loại hồ sơ thực hiện nghĩa vụ tài chính về đất </w:t>
      </w:r>
      <w:proofErr w:type="gramStart"/>
      <w:r w:rsidRPr="00644BD7">
        <w:rPr>
          <w:bCs/>
          <w:sz w:val="28"/>
        </w:rPr>
        <w:t>đai</w:t>
      </w:r>
      <w:proofErr w:type="gramEnd"/>
    </w:p>
    <w:p w:rsidR="00EE79EF" w:rsidRPr="00644BD7" w:rsidRDefault="00EE79EF" w:rsidP="009F1709">
      <w:pPr>
        <w:shd w:val="clear" w:color="auto" w:fill="FFFFFF"/>
        <w:spacing w:before="120" w:after="120"/>
        <w:ind w:firstLine="720"/>
        <w:jc w:val="both"/>
        <w:rPr>
          <w:sz w:val="28"/>
        </w:rPr>
      </w:pPr>
      <w:r w:rsidRPr="00644BD7">
        <w:rPr>
          <w:sz w:val="28"/>
        </w:rPr>
        <w:t>a) Hồ sơ xác định nghĩa vụ tài chính đối với trường hợp được Nhà nước giao đất, cho thuê đất không thông qua hình thức đấu giá quyền sử dụng đất, chuyển mục đích sử dụng đất.</w:t>
      </w:r>
    </w:p>
    <w:p w:rsidR="00EE79EF" w:rsidRPr="00644BD7" w:rsidRDefault="00EE79EF" w:rsidP="009F1709">
      <w:pPr>
        <w:shd w:val="clear" w:color="auto" w:fill="FFFFFF"/>
        <w:spacing w:before="120" w:after="120"/>
        <w:ind w:firstLine="720"/>
        <w:jc w:val="both"/>
        <w:rPr>
          <w:sz w:val="28"/>
        </w:rPr>
      </w:pPr>
      <w:r w:rsidRPr="00644BD7">
        <w:rPr>
          <w:sz w:val="28"/>
        </w:rPr>
        <w:t>b) Hồ sơ xác định nghĩa vụ tài chính đối với trường hợp được giao đất, cho thuê đất thông qua hình thức đấu giá quyền sử dụng đất.</w:t>
      </w:r>
    </w:p>
    <w:p w:rsidR="00EE79EF" w:rsidRPr="00644BD7" w:rsidRDefault="00EE79EF" w:rsidP="009F1709">
      <w:pPr>
        <w:shd w:val="clear" w:color="auto" w:fill="FFFFFF"/>
        <w:spacing w:before="120" w:after="120"/>
        <w:ind w:firstLine="720"/>
        <w:jc w:val="both"/>
        <w:rPr>
          <w:sz w:val="28"/>
        </w:rPr>
      </w:pPr>
      <w:r w:rsidRPr="00644BD7">
        <w:rPr>
          <w:sz w:val="28"/>
        </w:rPr>
        <w:t>c) Hồ sơ xác định nghĩa vụ tài chính khi đăng ký thay đổi tài sản gắn liền với đất; thực hiện chuyển hình thức sử dụng đất; gia hạn sử dụng đất; chuyển nhượng, góp vốn bằng quyền sử dụng đất, tài sản gắn liền với đất.</w:t>
      </w:r>
    </w:p>
    <w:p w:rsidR="00EE79EF" w:rsidRPr="00644BD7" w:rsidRDefault="00EE79EF" w:rsidP="009F1709">
      <w:pPr>
        <w:shd w:val="clear" w:color="auto" w:fill="FFFFFF"/>
        <w:spacing w:before="120" w:after="120"/>
        <w:ind w:firstLine="720"/>
        <w:jc w:val="both"/>
        <w:rPr>
          <w:sz w:val="28"/>
        </w:rPr>
      </w:pPr>
      <w:r w:rsidRPr="00644BD7">
        <w:rPr>
          <w:sz w:val="28"/>
        </w:rPr>
        <w:t>d) Hồ sơ xác định nghĩa vụ tài chính bổ sung do điều chỉnh quy hoạch xây dựng chi tiết của dự án hoặc do tăng diện tích đất thuộc trường hợp phải nộp nghĩa vụ tài chính bổ sung.</w:t>
      </w:r>
    </w:p>
    <w:p w:rsidR="00EE79EF" w:rsidRPr="00644BD7" w:rsidRDefault="00EE79EF" w:rsidP="009F1709">
      <w:pPr>
        <w:shd w:val="clear" w:color="auto" w:fill="FFFFFF"/>
        <w:spacing w:before="120" w:after="120"/>
        <w:ind w:firstLine="720"/>
        <w:jc w:val="both"/>
        <w:rPr>
          <w:sz w:val="28"/>
        </w:rPr>
      </w:pPr>
      <w:r w:rsidRPr="00644BD7">
        <w:rPr>
          <w:sz w:val="28"/>
        </w:rPr>
        <w:t>đ) Hồ sơ xác định nghĩa vụ tài chính khi đăng ký cho thuê, cho thuê lại quyền sử dụng đất.</w:t>
      </w:r>
    </w:p>
    <w:p w:rsidR="00EE79EF" w:rsidRPr="00644BD7" w:rsidRDefault="00EE79EF" w:rsidP="009F1709">
      <w:pPr>
        <w:shd w:val="clear" w:color="auto" w:fill="FFFFFF"/>
        <w:spacing w:before="120" w:after="120"/>
        <w:ind w:firstLine="720"/>
        <w:jc w:val="both"/>
        <w:rPr>
          <w:sz w:val="28"/>
        </w:rPr>
      </w:pPr>
      <w:r w:rsidRPr="00644BD7">
        <w:rPr>
          <w:sz w:val="28"/>
        </w:rPr>
        <w:t>e) Hồ sơ xác định nghĩa vụ tài chính khi đăng ký cấp giấy chứng nhận quyền sở hữu nhà ở và tài sản khác gắn liền với đất.</w:t>
      </w:r>
    </w:p>
    <w:p w:rsidR="00EE79EF" w:rsidRPr="00644BD7" w:rsidRDefault="00EE79EF" w:rsidP="009F1709">
      <w:pPr>
        <w:shd w:val="clear" w:color="auto" w:fill="FFFFFF"/>
        <w:spacing w:before="120" w:after="120"/>
        <w:ind w:firstLine="720"/>
        <w:jc w:val="both"/>
        <w:rPr>
          <w:sz w:val="28"/>
        </w:rPr>
      </w:pPr>
      <w:r w:rsidRPr="00644BD7">
        <w:rPr>
          <w:sz w:val="28"/>
        </w:rPr>
        <w:t>g) Giấy tờ để xác định các khoản được trừ vào tiền sử dụng đất, tiền thuê đất phải nộp.</w:t>
      </w:r>
    </w:p>
    <w:p w:rsidR="00EE79EF" w:rsidRPr="00644BD7" w:rsidRDefault="00EE79EF" w:rsidP="009F1709">
      <w:pPr>
        <w:shd w:val="clear" w:color="auto" w:fill="FFFFFF"/>
        <w:spacing w:before="120" w:after="120"/>
        <w:ind w:firstLine="720"/>
        <w:jc w:val="both"/>
        <w:rPr>
          <w:bCs/>
          <w:sz w:val="28"/>
        </w:rPr>
      </w:pPr>
      <w:r w:rsidRPr="00644BD7">
        <w:rPr>
          <w:sz w:val="28"/>
        </w:rPr>
        <w:t xml:space="preserve">2. Thành phần các loại hồ sơ </w:t>
      </w:r>
      <w:r w:rsidRPr="00644BD7">
        <w:rPr>
          <w:bCs/>
          <w:sz w:val="28"/>
        </w:rPr>
        <w:t xml:space="preserve">thực hiện nghĩa vụ tài chính về đất </w:t>
      </w:r>
      <w:proofErr w:type="gramStart"/>
      <w:r w:rsidRPr="00644BD7">
        <w:rPr>
          <w:bCs/>
          <w:sz w:val="28"/>
        </w:rPr>
        <w:t>đai</w:t>
      </w:r>
      <w:proofErr w:type="gramEnd"/>
      <w:r w:rsidRPr="00644BD7">
        <w:rPr>
          <w:bCs/>
          <w:sz w:val="28"/>
        </w:rPr>
        <w:t xml:space="preserve"> quy định tại Điều 3, Điều 5, Điều 6, Điều 7, Điều 8 Thông tư liên tịch số 88/TTLT/BTC-BTNMT; </w:t>
      </w:r>
    </w:p>
    <w:p w:rsidR="00EE79EF" w:rsidRPr="00644BD7" w:rsidRDefault="00EE79EF" w:rsidP="009F1709">
      <w:pPr>
        <w:shd w:val="clear" w:color="auto" w:fill="FFFFFF"/>
        <w:spacing w:before="120" w:after="120"/>
        <w:ind w:firstLine="720"/>
        <w:jc w:val="both"/>
        <w:rPr>
          <w:bCs/>
          <w:sz w:val="28"/>
        </w:rPr>
      </w:pPr>
      <w:r w:rsidRPr="00644BD7">
        <w:rPr>
          <w:bCs/>
          <w:sz w:val="28"/>
        </w:rPr>
        <w:t xml:space="preserve">Đối với các hồ sơ </w:t>
      </w:r>
      <w:r w:rsidRPr="00644BD7">
        <w:rPr>
          <w:sz w:val="28"/>
        </w:rPr>
        <w:t>góp vốn bằng quyền sử dụng đất, tài sản gắn liền với đất; đăng ký cấp giấy chứng nhận quyền sở hữu nhà ở và tài sản khác gắn liền với đất</w:t>
      </w:r>
      <w:r w:rsidRPr="00644BD7">
        <w:rPr>
          <w:bCs/>
          <w:sz w:val="28"/>
        </w:rPr>
        <w:t xml:space="preserve">; </w:t>
      </w:r>
      <w:r w:rsidRPr="00644BD7">
        <w:rPr>
          <w:sz w:val="28"/>
        </w:rPr>
        <w:t>đăng ký cho thuê, cho thuê lại quyền sử dụng đất</w:t>
      </w:r>
      <w:r w:rsidRPr="00644BD7">
        <w:rPr>
          <w:bCs/>
          <w:sz w:val="28"/>
        </w:rPr>
        <w:t xml:space="preserve"> gồm Phiếu chuyển thông tin để xác định nghĩa vụ tài chính về đất đai (sau đây ghi tắt là Phiếu chuyển thông tin) theo quy định (bản chính), hợp đồng góp vốn hoặc hợp đồng cho thuê lại đất theo đúng quy định pháp luật (bản sao), tờ khai lệ phí trước bạ (bản chính).</w:t>
      </w:r>
    </w:p>
    <w:p w:rsidR="00EE79EF" w:rsidRPr="00644BD7" w:rsidRDefault="00EE79EF" w:rsidP="009F1709">
      <w:pPr>
        <w:shd w:val="clear" w:color="auto" w:fill="FFFFFF"/>
        <w:spacing w:before="120" w:after="120"/>
        <w:jc w:val="center"/>
        <w:rPr>
          <w:b/>
          <w:bCs/>
          <w:sz w:val="28"/>
        </w:rPr>
      </w:pPr>
      <w:r w:rsidRPr="00644BD7">
        <w:rPr>
          <w:b/>
          <w:bCs/>
          <w:sz w:val="28"/>
        </w:rPr>
        <w:t>Mục 2</w:t>
      </w:r>
    </w:p>
    <w:p w:rsidR="00EE79EF" w:rsidRPr="00644BD7" w:rsidRDefault="00EE79EF" w:rsidP="00E31F97">
      <w:pPr>
        <w:ind w:firstLine="11"/>
        <w:jc w:val="center"/>
        <w:rPr>
          <w:b/>
          <w:bCs/>
          <w:sz w:val="28"/>
        </w:rPr>
      </w:pPr>
      <w:r w:rsidRPr="00644BD7">
        <w:rPr>
          <w:b/>
          <w:bCs/>
          <w:sz w:val="28"/>
        </w:rPr>
        <w:t xml:space="preserve">QUY ĐỊNH LUÂN CHUYỂN HỒ SƠ XÁC ĐỊNH NGHĨA VỤ </w:t>
      </w:r>
    </w:p>
    <w:p w:rsidR="00EE79EF" w:rsidRPr="00644BD7" w:rsidRDefault="00EE79EF" w:rsidP="00E31F97">
      <w:pPr>
        <w:ind w:firstLine="11"/>
        <w:jc w:val="center"/>
        <w:rPr>
          <w:b/>
          <w:bCs/>
          <w:sz w:val="28"/>
        </w:rPr>
      </w:pPr>
      <w:r w:rsidRPr="00644BD7">
        <w:rPr>
          <w:b/>
          <w:bCs/>
          <w:sz w:val="28"/>
        </w:rPr>
        <w:t>TÀI CHÍNH VỀ ĐẤT ĐAI</w:t>
      </w:r>
    </w:p>
    <w:bookmarkEnd w:id="1"/>
    <w:p w:rsidR="00EE79EF" w:rsidRPr="00644BD7" w:rsidRDefault="00EE79EF" w:rsidP="009F1709">
      <w:pPr>
        <w:spacing w:before="120" w:after="120"/>
        <w:ind w:firstLine="709"/>
        <w:jc w:val="both"/>
        <w:rPr>
          <w:b/>
          <w:bCs/>
          <w:sz w:val="28"/>
        </w:rPr>
      </w:pPr>
      <w:proofErr w:type="gramStart"/>
      <w:r w:rsidRPr="00644BD7">
        <w:rPr>
          <w:b/>
          <w:sz w:val="28"/>
        </w:rPr>
        <w:t>Điều 5.</w:t>
      </w:r>
      <w:proofErr w:type="gramEnd"/>
      <w:r w:rsidRPr="00644BD7">
        <w:rPr>
          <w:b/>
          <w:sz w:val="28"/>
        </w:rPr>
        <w:t xml:space="preserve"> Quy trình luân chuyển hồ sơ xác định nghĩa vụ tài chính về đất </w:t>
      </w:r>
      <w:proofErr w:type="gramStart"/>
      <w:r w:rsidRPr="00644BD7">
        <w:rPr>
          <w:b/>
          <w:sz w:val="28"/>
        </w:rPr>
        <w:t>đai</w:t>
      </w:r>
      <w:proofErr w:type="gramEnd"/>
      <w:r w:rsidRPr="00644BD7">
        <w:rPr>
          <w:b/>
          <w:sz w:val="28"/>
        </w:rPr>
        <w:t xml:space="preserve"> của tổ chức sử dụng đất </w:t>
      </w:r>
      <w:r w:rsidRPr="00644BD7">
        <w:rPr>
          <w:b/>
          <w:bCs/>
          <w:sz w:val="28"/>
          <w:lang w:val="vi-VN"/>
        </w:rPr>
        <w:t>trong trường hợp đ</w:t>
      </w:r>
      <w:r w:rsidRPr="00644BD7">
        <w:rPr>
          <w:b/>
          <w:bCs/>
          <w:sz w:val="28"/>
          <w:shd w:val="solid" w:color="FFFFFF" w:fill="auto"/>
          <w:lang w:val="vi-VN"/>
        </w:rPr>
        <w:t>ượ</w:t>
      </w:r>
      <w:r w:rsidRPr="00644BD7">
        <w:rPr>
          <w:b/>
          <w:bCs/>
          <w:sz w:val="28"/>
          <w:lang w:val="vi-VN"/>
        </w:rPr>
        <w:t xml:space="preserve">c giao đất, cho thuê đất </w:t>
      </w:r>
      <w:r w:rsidRPr="00644BD7">
        <w:rPr>
          <w:b/>
          <w:bCs/>
          <w:sz w:val="28"/>
        </w:rPr>
        <w:t xml:space="preserve">trả tiền thuê đất một lần cho cả thời gian thuê </w:t>
      </w:r>
      <w:r w:rsidRPr="00644BD7">
        <w:rPr>
          <w:b/>
          <w:bCs/>
          <w:sz w:val="28"/>
          <w:lang w:val="vi-VN"/>
        </w:rPr>
        <w:t>thông qua hình thức đấu giá</w:t>
      </w:r>
    </w:p>
    <w:p w:rsidR="00EE79EF" w:rsidRPr="00644BD7" w:rsidRDefault="00EE79EF" w:rsidP="009F1709">
      <w:pPr>
        <w:shd w:val="clear" w:color="auto" w:fill="FFFFFF"/>
        <w:spacing w:before="120" w:after="120"/>
        <w:ind w:firstLine="720"/>
        <w:jc w:val="both"/>
        <w:rPr>
          <w:sz w:val="28"/>
        </w:rPr>
      </w:pPr>
      <w:r w:rsidRPr="00644BD7">
        <w:rPr>
          <w:sz w:val="28"/>
        </w:rPr>
        <w:t>1. Sau khi tiếp nhận đầy đủ hồ sơ theo quy định tại Khoản 2, Khoản 3, Khoản 4 Điều 5 Thông tư liên tịch số 88/2016/TTLT-BTC-BTNMT từ tổ chức trúng đấu giá, Trung tâm Phục vụ hành chính công tỉnh chuyển ngay cho Văn phòng đăng ký đất đai.</w:t>
      </w:r>
    </w:p>
    <w:p w:rsidR="00EE79EF" w:rsidRPr="00644BD7" w:rsidRDefault="00EE79EF" w:rsidP="009F1709">
      <w:pPr>
        <w:shd w:val="clear" w:color="auto" w:fill="FFFFFF"/>
        <w:spacing w:before="120" w:after="120"/>
        <w:ind w:firstLine="720"/>
        <w:jc w:val="both"/>
        <w:rPr>
          <w:sz w:val="28"/>
        </w:rPr>
      </w:pPr>
      <w:r w:rsidRPr="00644BD7">
        <w:rPr>
          <w:sz w:val="28"/>
        </w:rPr>
        <w:t xml:space="preserve">2. Văn phòng đăng ký đất </w:t>
      </w:r>
      <w:proofErr w:type="gramStart"/>
      <w:r w:rsidRPr="00644BD7">
        <w:rPr>
          <w:sz w:val="28"/>
        </w:rPr>
        <w:t>đai</w:t>
      </w:r>
      <w:proofErr w:type="gramEnd"/>
      <w:r w:rsidRPr="00644BD7">
        <w:rPr>
          <w:sz w:val="28"/>
        </w:rPr>
        <w:t xml:space="preserve"> lập Phiếu chuyển thông tin để gửi kèm các giấy tờ tại Khoản 2 Điều 5 Thông tư liên tịch số 88/2016/TTLT-BTC-BTNMT cho Cục Thuế.</w:t>
      </w:r>
    </w:p>
    <w:p w:rsidR="00EE79EF" w:rsidRPr="00644BD7" w:rsidRDefault="00EE79EF" w:rsidP="009F1709">
      <w:pPr>
        <w:shd w:val="clear" w:color="auto" w:fill="FFFFFF"/>
        <w:spacing w:before="120" w:after="120"/>
        <w:ind w:firstLine="720"/>
        <w:jc w:val="both"/>
        <w:rPr>
          <w:sz w:val="28"/>
        </w:rPr>
      </w:pPr>
      <w:proofErr w:type="gramStart"/>
      <w:r w:rsidRPr="00644BD7">
        <w:rPr>
          <w:sz w:val="28"/>
        </w:rPr>
        <w:t>3. Cục Thuế xác định số tiền trúng đấu giá và các khoản nghĩa vụ tài chính khác phải nộp; gửi thông báo đến Trung tâm Phục vụ hành chính công tỉnh để chuyển ngay cho tổ chức trúng đấu giá.</w:t>
      </w:r>
      <w:proofErr w:type="gramEnd"/>
      <w:r w:rsidRPr="00644BD7">
        <w:rPr>
          <w:sz w:val="28"/>
        </w:rPr>
        <w:t xml:space="preserve"> Thời hạn thực hiện không quá năm (05) ngày làm việc kể từ ngày nhận được Phiếu chuyển thông tin của Văn phòng đăng ký đất </w:t>
      </w:r>
      <w:proofErr w:type="gramStart"/>
      <w:r w:rsidRPr="00644BD7">
        <w:rPr>
          <w:sz w:val="28"/>
        </w:rPr>
        <w:t>đai</w:t>
      </w:r>
      <w:proofErr w:type="gramEnd"/>
      <w:r w:rsidRPr="00644BD7">
        <w:rPr>
          <w:sz w:val="28"/>
        </w:rPr>
        <w:t xml:space="preserve">. </w:t>
      </w:r>
    </w:p>
    <w:p w:rsidR="00EE79EF" w:rsidRPr="00644BD7" w:rsidRDefault="00EE79EF" w:rsidP="009F1709">
      <w:pPr>
        <w:shd w:val="clear" w:color="auto" w:fill="FFFFFF"/>
        <w:spacing w:before="120" w:after="120"/>
        <w:ind w:firstLine="720"/>
        <w:jc w:val="both"/>
        <w:rPr>
          <w:sz w:val="28"/>
        </w:rPr>
      </w:pPr>
      <w:r w:rsidRPr="00644BD7">
        <w:rPr>
          <w:sz w:val="28"/>
        </w:rPr>
        <w:t xml:space="preserve">Trường hợp quy chế bán đấu giá không quy định cụ thể thời gian nộp tiền trúng đấu giá thì Cục Thuế thực hiện thông báo thời hạn nộp tiền trúng đấu giá </w:t>
      </w:r>
      <w:proofErr w:type="gramStart"/>
      <w:r w:rsidRPr="00644BD7">
        <w:rPr>
          <w:sz w:val="28"/>
        </w:rPr>
        <w:t>theo</w:t>
      </w:r>
      <w:proofErr w:type="gramEnd"/>
      <w:r w:rsidRPr="00644BD7">
        <w:rPr>
          <w:sz w:val="28"/>
        </w:rPr>
        <w:t xml:space="preserve"> quy định của pháp luật về thu tiền sử dụng đất, thu tiền thuê đất.</w:t>
      </w:r>
    </w:p>
    <w:p w:rsidR="00EE79EF" w:rsidRPr="00644BD7" w:rsidRDefault="00EE79EF" w:rsidP="009F1709">
      <w:pPr>
        <w:shd w:val="clear" w:color="auto" w:fill="FFFFFF"/>
        <w:spacing w:before="120" w:after="120"/>
        <w:ind w:firstLine="720"/>
        <w:jc w:val="both"/>
        <w:rPr>
          <w:sz w:val="28"/>
        </w:rPr>
      </w:pPr>
      <w:r w:rsidRPr="00644BD7">
        <w:rPr>
          <w:sz w:val="28"/>
        </w:rPr>
        <w:t>4. Căn cứ xác nhận của Cục Thuế khi tổ chức trúng đấu giá hoàn thành nghĩa vụ tài chính hoặc các chứng từ nộp tiền theo quy định của tổ chức trúng đấu giá, Văn phòng đăng ký đất đai trình Sở Tài nguyên và Môi trường cấp Giấy chứng nhận quyền sử dụng đất, quyền sở hữu nhà ở và tài sản khác gắn liền với đất (sau đây ghi tắt là Giấy chứng nhận) theo quy định của pháp luật.</w:t>
      </w:r>
    </w:p>
    <w:p w:rsidR="00EE79EF" w:rsidRPr="00644BD7" w:rsidRDefault="00EE79EF" w:rsidP="000813D2">
      <w:pPr>
        <w:spacing w:before="120" w:after="120"/>
        <w:ind w:firstLine="709"/>
        <w:jc w:val="both"/>
        <w:rPr>
          <w:b/>
          <w:bCs/>
          <w:sz w:val="28"/>
        </w:rPr>
      </w:pPr>
      <w:proofErr w:type="gramStart"/>
      <w:r w:rsidRPr="00644BD7">
        <w:rPr>
          <w:b/>
          <w:sz w:val="28"/>
        </w:rPr>
        <w:t>Điều 6.</w:t>
      </w:r>
      <w:proofErr w:type="gramEnd"/>
      <w:r w:rsidRPr="00644BD7">
        <w:rPr>
          <w:b/>
          <w:sz w:val="28"/>
        </w:rPr>
        <w:t xml:space="preserve"> Quy trình luân chuyển hồ sơ xác định nghĩa vụ tài chính về đất </w:t>
      </w:r>
      <w:proofErr w:type="gramStart"/>
      <w:r w:rsidRPr="00644BD7">
        <w:rPr>
          <w:b/>
          <w:sz w:val="28"/>
        </w:rPr>
        <w:t>đai</w:t>
      </w:r>
      <w:proofErr w:type="gramEnd"/>
      <w:r w:rsidRPr="00644BD7">
        <w:rPr>
          <w:b/>
          <w:sz w:val="28"/>
        </w:rPr>
        <w:t xml:space="preserve"> của tổ chức sử dụng đất </w:t>
      </w:r>
      <w:r w:rsidRPr="00644BD7">
        <w:rPr>
          <w:b/>
          <w:bCs/>
          <w:sz w:val="28"/>
          <w:lang w:val="vi-VN"/>
        </w:rPr>
        <w:t xml:space="preserve">trong trường hợp cho thuê đất </w:t>
      </w:r>
      <w:r w:rsidRPr="00644BD7">
        <w:rPr>
          <w:b/>
          <w:bCs/>
          <w:sz w:val="28"/>
        </w:rPr>
        <w:t xml:space="preserve">trả tiền thuê đất hàng năm </w:t>
      </w:r>
      <w:r w:rsidRPr="00644BD7">
        <w:rPr>
          <w:b/>
          <w:bCs/>
          <w:sz w:val="28"/>
          <w:lang w:val="vi-VN"/>
        </w:rPr>
        <w:t>thông qua hình thức đấu giá</w:t>
      </w:r>
      <w:r w:rsidRPr="00644BD7">
        <w:rPr>
          <w:b/>
          <w:bCs/>
          <w:sz w:val="28"/>
        </w:rPr>
        <w:t xml:space="preserve"> </w:t>
      </w:r>
    </w:p>
    <w:p w:rsidR="00EE79EF" w:rsidRPr="00644BD7" w:rsidRDefault="00EE79EF" w:rsidP="000813D2">
      <w:pPr>
        <w:shd w:val="clear" w:color="auto" w:fill="FFFFFF"/>
        <w:spacing w:before="120" w:after="120"/>
        <w:ind w:firstLine="720"/>
        <w:jc w:val="both"/>
        <w:rPr>
          <w:sz w:val="28"/>
        </w:rPr>
      </w:pPr>
      <w:r w:rsidRPr="00644BD7">
        <w:rPr>
          <w:sz w:val="28"/>
        </w:rPr>
        <w:t>1. Sau khi tiếp nhận đầy đủ hồ sơ theo quy định tại Khoản 2, Khoản 3, Khoản 4 Điều 5 Thông tư liên tịch số 88/2016/TTLT-BTC-BTNMT từ tổ chức trúng đấu giá, Trung tâm Phục vụ hành chính công tỉnh chuyển ngay cho Văn phòng đăng ký đất đai.</w:t>
      </w:r>
    </w:p>
    <w:p w:rsidR="00EE79EF" w:rsidRPr="00644BD7" w:rsidRDefault="00EE79EF" w:rsidP="000813D2">
      <w:pPr>
        <w:shd w:val="clear" w:color="auto" w:fill="FFFFFF"/>
        <w:spacing w:before="120" w:after="120"/>
        <w:ind w:firstLine="720"/>
        <w:jc w:val="both"/>
        <w:rPr>
          <w:sz w:val="28"/>
        </w:rPr>
      </w:pPr>
      <w:r w:rsidRPr="00644BD7">
        <w:rPr>
          <w:sz w:val="28"/>
        </w:rPr>
        <w:t>2. Văn phòng đăng ký đất đai lập Phiếu chuyển thông tin và gửi kèm các giấy tờ tại Khoản 2, Khoản 4 Điều 5 Thông tư liên tịch số 88/2016/TTLT-BTC-BTNMT để luân chuyển hồ sơ theo quy định tại Điểm c Khoản 4 Điều 10 Thông tư liên tịch số 88/2016/TTLT-BTC-BTNMT.</w:t>
      </w:r>
    </w:p>
    <w:p w:rsidR="00EE79EF" w:rsidRPr="00644BD7" w:rsidRDefault="00EE79EF" w:rsidP="000813D2">
      <w:pPr>
        <w:shd w:val="clear" w:color="auto" w:fill="FFFFFF"/>
        <w:spacing w:before="120" w:after="120"/>
        <w:ind w:firstLine="720"/>
        <w:jc w:val="both"/>
        <w:rPr>
          <w:sz w:val="28"/>
        </w:rPr>
      </w:pPr>
      <w:r w:rsidRPr="00644BD7">
        <w:rPr>
          <w:sz w:val="28"/>
        </w:rPr>
        <w:t xml:space="preserve">3. Sở Tài chính xác định số tiền bồi thường, giải phóng mặt bằng mà người trúng đấu giá trả trước theo quy định tại Khoản 1 Điều 6 Thông tư số 77/2014/TT-BTC ngày 16/6/2014 của Bộ Tài chính hướng dẫn thi hành một số điều của Nghị định số 46/2014/NĐ-CP ngày 15/5/2014 của Chính phủ quy định về thu tiền thuê đất, thuê mặt nước và gửi văn bản xác định đến cho cơ quan thuế. Thời gian thực hiện không quá năm (05) ngày làm việc kể từ ngày nhận được Phiếu chuyển thông tin của Văn phòng đăng ký đất </w:t>
      </w:r>
      <w:proofErr w:type="gramStart"/>
      <w:r w:rsidRPr="00644BD7">
        <w:rPr>
          <w:sz w:val="28"/>
        </w:rPr>
        <w:t>đai</w:t>
      </w:r>
      <w:proofErr w:type="gramEnd"/>
      <w:r w:rsidRPr="00644BD7">
        <w:rPr>
          <w:sz w:val="28"/>
        </w:rPr>
        <w:t>.</w:t>
      </w:r>
    </w:p>
    <w:p w:rsidR="00EE79EF" w:rsidRPr="00644BD7" w:rsidRDefault="00EE79EF" w:rsidP="004F08D5">
      <w:pPr>
        <w:shd w:val="clear" w:color="auto" w:fill="FFFFFF"/>
        <w:spacing w:before="120" w:after="120"/>
        <w:ind w:firstLine="720"/>
        <w:jc w:val="both"/>
        <w:rPr>
          <w:sz w:val="28"/>
        </w:rPr>
      </w:pPr>
      <w:r w:rsidRPr="00644BD7">
        <w:rPr>
          <w:sz w:val="28"/>
        </w:rPr>
        <w:t xml:space="preserve">4. Cơ quan thuế xác định đơn giá thuê đất hàng năm để cơ quan tài nguyên môi trường ghi vào Hợp đồng thuê đất; thông báo số tiền thuê đất phải nộp và các nghĩa vụ tài chính khác (nếu có) theo quy định của pháp luật; xác nhận thời gian đã hoàn thành nghĩa vụ về tiền thuê đất hàng năm do người trúng đấu giá đã trả trước tiền bồi thường, giải phóng mặt bằng; gửi thông báo cho Trung tâm Phục vụ hành chính công tỉnh để chuyển ngay cho tổ chức trúng đấu giá. Thời hạn thực hiện không quá năm (05) ngày làm việc kể từ ngày nhận được Phiếu chuyển thông tin của Văn phòng đăng ký đất </w:t>
      </w:r>
      <w:proofErr w:type="gramStart"/>
      <w:r w:rsidRPr="00644BD7">
        <w:rPr>
          <w:sz w:val="28"/>
        </w:rPr>
        <w:t>đai</w:t>
      </w:r>
      <w:proofErr w:type="gramEnd"/>
      <w:r w:rsidRPr="00644BD7">
        <w:rPr>
          <w:sz w:val="28"/>
        </w:rPr>
        <w:t xml:space="preserve">. </w:t>
      </w:r>
    </w:p>
    <w:p w:rsidR="00EE79EF" w:rsidRPr="00644BD7" w:rsidRDefault="00EE79EF" w:rsidP="009F1709">
      <w:pPr>
        <w:shd w:val="clear" w:color="auto" w:fill="FFFFFF"/>
        <w:spacing w:before="120" w:after="120"/>
        <w:ind w:firstLine="720"/>
        <w:jc w:val="both"/>
        <w:rPr>
          <w:sz w:val="28"/>
        </w:rPr>
      </w:pPr>
      <w:r w:rsidRPr="00644BD7">
        <w:rPr>
          <w:sz w:val="28"/>
        </w:rPr>
        <w:t xml:space="preserve">5. Căn cứ xác nhận của Cục Thuế khi tổ chức trúng đấu giá hoàn thành nghĩa vụ tài chính hoặc các chứng từ nộp tiền </w:t>
      </w:r>
      <w:proofErr w:type="gramStart"/>
      <w:r w:rsidRPr="00644BD7">
        <w:rPr>
          <w:sz w:val="28"/>
        </w:rPr>
        <w:t>theo</w:t>
      </w:r>
      <w:proofErr w:type="gramEnd"/>
      <w:r w:rsidRPr="00644BD7">
        <w:rPr>
          <w:sz w:val="28"/>
        </w:rPr>
        <w:t xml:space="preserve"> quy định của tổ chức trúng đấu giá, Văn phòng đăng ký đất đai trình Sở Tài nguyên và Môi trường cấp Giấy chứng nhận theo quy định của pháp luật.</w:t>
      </w:r>
    </w:p>
    <w:p w:rsidR="00EE79EF" w:rsidRPr="00644BD7" w:rsidRDefault="00EE79EF" w:rsidP="009F1709">
      <w:pPr>
        <w:shd w:val="clear" w:color="auto" w:fill="FFFFFF"/>
        <w:spacing w:before="120" w:after="120"/>
        <w:ind w:firstLine="720"/>
        <w:jc w:val="both"/>
        <w:rPr>
          <w:b/>
          <w:sz w:val="28"/>
        </w:rPr>
      </w:pPr>
      <w:proofErr w:type="gramStart"/>
      <w:r w:rsidRPr="00644BD7">
        <w:rPr>
          <w:b/>
          <w:sz w:val="28"/>
        </w:rPr>
        <w:t>Điều 7.</w:t>
      </w:r>
      <w:proofErr w:type="gramEnd"/>
      <w:r w:rsidRPr="00644BD7">
        <w:rPr>
          <w:i/>
          <w:sz w:val="28"/>
        </w:rPr>
        <w:t xml:space="preserve"> </w:t>
      </w:r>
      <w:r w:rsidRPr="00644BD7">
        <w:rPr>
          <w:b/>
          <w:sz w:val="28"/>
        </w:rPr>
        <w:t xml:space="preserve">Quy trình luân chuyển hồ sơ xác định nghĩa vụ tài chính về đất </w:t>
      </w:r>
      <w:proofErr w:type="gramStart"/>
      <w:r w:rsidRPr="00644BD7">
        <w:rPr>
          <w:b/>
          <w:sz w:val="28"/>
        </w:rPr>
        <w:t>đai</w:t>
      </w:r>
      <w:proofErr w:type="gramEnd"/>
      <w:r w:rsidRPr="00644BD7">
        <w:rPr>
          <w:b/>
          <w:sz w:val="28"/>
        </w:rPr>
        <w:t xml:space="preserve"> của tổ chức sử dụng đất trong trường hợp được Nhà nước giao đất, cho thuê đất không thông qua hình thức đấu giá quyền sử dụng đất và chuyển mục đích sử dụng đất</w:t>
      </w:r>
    </w:p>
    <w:p w:rsidR="00EE79EF" w:rsidRPr="00644BD7" w:rsidRDefault="00EE79EF" w:rsidP="009F1709">
      <w:pPr>
        <w:shd w:val="clear" w:color="auto" w:fill="FFFFFF"/>
        <w:spacing w:before="120" w:after="120"/>
        <w:ind w:firstLine="720"/>
        <w:jc w:val="both"/>
        <w:rPr>
          <w:sz w:val="28"/>
        </w:rPr>
      </w:pPr>
      <w:r w:rsidRPr="00644BD7">
        <w:rPr>
          <w:sz w:val="28"/>
        </w:rPr>
        <w:t>1. Sở Tài nguyên và Môi trường lựa chọn phương pháp xác định giá đất, trên cơ sở đối tượng và giá trị của diện tích tính thu tiền sử dụng đất, tiền thuê đất của thửa đất hoặc khu đất sau khi nhận được quyết định giao đất, cho thuê đất, chuyển mục đích sử dụng đất của Ủy ban nhân dân tỉnh.</w:t>
      </w:r>
    </w:p>
    <w:p w:rsidR="00EE79EF" w:rsidRPr="00644BD7" w:rsidRDefault="00EE79EF" w:rsidP="009F1709">
      <w:pPr>
        <w:spacing w:before="120" w:after="120"/>
        <w:ind w:firstLine="709"/>
        <w:jc w:val="both"/>
        <w:rPr>
          <w:sz w:val="28"/>
        </w:rPr>
      </w:pPr>
      <w:r w:rsidRPr="00644BD7">
        <w:rPr>
          <w:sz w:val="28"/>
        </w:rPr>
        <w:t>a) Trường hợp áp dụng phương pháp hệ số điều chỉnh giá đất thì chuyển quyết định giao đất, cho thuê đất, chuyển mục đích sử dụng đất và các giấy tờ có liên quan quy định tại Khoản 2, Khoản 3, Khoản 4 Điều 3 Thông tư liên tịch số 88/2017/TTLT-BTC-BTNMT cho Văn phòng đăng ký đất đai.</w:t>
      </w:r>
    </w:p>
    <w:p w:rsidR="00EE79EF" w:rsidRPr="00644BD7" w:rsidRDefault="00EE79EF" w:rsidP="009F1709">
      <w:pPr>
        <w:spacing w:before="120" w:after="120"/>
        <w:ind w:firstLine="709"/>
        <w:jc w:val="both"/>
        <w:rPr>
          <w:sz w:val="28"/>
        </w:rPr>
      </w:pPr>
      <w:r w:rsidRPr="00644BD7">
        <w:rPr>
          <w:sz w:val="28"/>
        </w:rPr>
        <w:t xml:space="preserve">b) Trường hợp áp dụng phương pháp so sánh trực tiếp, </w:t>
      </w:r>
      <w:proofErr w:type="gramStart"/>
      <w:r w:rsidRPr="00644BD7">
        <w:rPr>
          <w:sz w:val="28"/>
        </w:rPr>
        <w:t>thu</w:t>
      </w:r>
      <w:proofErr w:type="gramEnd"/>
      <w:r w:rsidRPr="00644BD7">
        <w:rPr>
          <w:sz w:val="28"/>
        </w:rPr>
        <w:t xml:space="preserve"> nhập, chiết trừ, thặng dư thì:</w:t>
      </w:r>
    </w:p>
    <w:p w:rsidR="00EE79EF" w:rsidRPr="00644BD7" w:rsidRDefault="00EE79EF" w:rsidP="009F1709">
      <w:pPr>
        <w:spacing w:before="120" w:after="120"/>
        <w:ind w:firstLine="709"/>
        <w:jc w:val="both"/>
        <w:rPr>
          <w:sz w:val="28"/>
        </w:rPr>
      </w:pPr>
      <w:r w:rsidRPr="00644BD7">
        <w:rPr>
          <w:sz w:val="28"/>
        </w:rPr>
        <w:t xml:space="preserve">Sở Tài nguyên và Môi trường có trách nhiệm thuê tổ chức có chức năng tư vấn xác định giá đất và cung cấp Chứng </w:t>
      </w:r>
      <w:proofErr w:type="gramStart"/>
      <w:r w:rsidRPr="00644BD7">
        <w:rPr>
          <w:sz w:val="28"/>
        </w:rPr>
        <w:t>thư</w:t>
      </w:r>
      <w:proofErr w:type="gramEnd"/>
      <w:r w:rsidRPr="00644BD7">
        <w:rPr>
          <w:sz w:val="28"/>
        </w:rPr>
        <w:t xml:space="preserve"> định giá theo quy định. </w:t>
      </w:r>
      <w:proofErr w:type="gramStart"/>
      <w:r w:rsidRPr="00644BD7">
        <w:rPr>
          <w:sz w:val="28"/>
        </w:rPr>
        <w:t>Thời gian thực hiện không quá bảy (07) ngày làm việc kể từ ngày nhận được quyết định giao đất, cho thuê đất.</w:t>
      </w:r>
      <w:proofErr w:type="gramEnd"/>
    </w:p>
    <w:p w:rsidR="00EE79EF" w:rsidRPr="00644BD7" w:rsidRDefault="00EE79EF" w:rsidP="009F1709">
      <w:pPr>
        <w:spacing w:before="120" w:after="120"/>
        <w:ind w:firstLine="709"/>
        <w:jc w:val="both"/>
        <w:rPr>
          <w:sz w:val="28"/>
        </w:rPr>
      </w:pPr>
      <w:r w:rsidRPr="00644BD7">
        <w:rPr>
          <w:sz w:val="28"/>
        </w:rPr>
        <w:t xml:space="preserve">Sở Tài nguyên và Môi trường lập phương </w:t>
      </w:r>
      <w:proofErr w:type="gramStart"/>
      <w:r w:rsidRPr="00644BD7">
        <w:rPr>
          <w:sz w:val="28"/>
        </w:rPr>
        <w:t>án</w:t>
      </w:r>
      <w:proofErr w:type="gramEnd"/>
      <w:r w:rsidRPr="00644BD7">
        <w:rPr>
          <w:sz w:val="28"/>
        </w:rPr>
        <w:t xml:space="preserve"> giá đất gửi kèm hồ sơ có liên quan đến Hội đồng thẩm định giá đất tỉnh (do Sở Tài chính làm thường trực). Hội đồng thẩm định giá đất tỉnh tổ chức thẩm định giá đất; ban hành và gửi văn bản thẩm định phương </w:t>
      </w:r>
      <w:proofErr w:type="gramStart"/>
      <w:r w:rsidRPr="00644BD7">
        <w:rPr>
          <w:sz w:val="28"/>
        </w:rPr>
        <w:t>án</w:t>
      </w:r>
      <w:proofErr w:type="gramEnd"/>
      <w:r w:rsidRPr="00644BD7">
        <w:rPr>
          <w:sz w:val="28"/>
        </w:rPr>
        <w:t xml:space="preserve"> giá đất đến Sở Tài nguyên và Môi trường. </w:t>
      </w:r>
      <w:proofErr w:type="gramStart"/>
      <w:r w:rsidRPr="00644BD7">
        <w:rPr>
          <w:sz w:val="28"/>
        </w:rPr>
        <w:t>Thời gian thực hiện tối đa không quá năm (05) ngày làm việc.</w:t>
      </w:r>
      <w:proofErr w:type="gramEnd"/>
    </w:p>
    <w:p w:rsidR="00EE79EF" w:rsidRPr="00644BD7" w:rsidRDefault="00EE79EF" w:rsidP="009F1709">
      <w:pPr>
        <w:spacing w:before="120" w:after="120"/>
        <w:ind w:firstLine="709"/>
        <w:jc w:val="both"/>
        <w:rPr>
          <w:sz w:val="28"/>
        </w:rPr>
      </w:pPr>
      <w:r w:rsidRPr="00644BD7">
        <w:rPr>
          <w:sz w:val="28"/>
        </w:rPr>
        <w:t xml:space="preserve">Sở Tài nguyên và Môi trường hoàn thiện phương </w:t>
      </w:r>
      <w:proofErr w:type="gramStart"/>
      <w:r w:rsidRPr="00644BD7">
        <w:rPr>
          <w:sz w:val="28"/>
        </w:rPr>
        <w:t>án</w:t>
      </w:r>
      <w:proofErr w:type="gramEnd"/>
      <w:r w:rsidRPr="00644BD7">
        <w:rPr>
          <w:sz w:val="28"/>
        </w:rPr>
        <w:t xml:space="preserve"> giá đất trình Ủy ban nhân dân tỉnh quyết định giá đất cụ thể. Thời gian thực hiện không quá một (01) ngày làm việc kể từ ngày nhận được kết quả thẩm định phương </w:t>
      </w:r>
      <w:proofErr w:type="gramStart"/>
      <w:r w:rsidRPr="00644BD7">
        <w:rPr>
          <w:sz w:val="28"/>
        </w:rPr>
        <w:t>án</w:t>
      </w:r>
      <w:proofErr w:type="gramEnd"/>
      <w:r w:rsidRPr="00644BD7">
        <w:rPr>
          <w:sz w:val="28"/>
        </w:rPr>
        <w:t xml:space="preserve"> giá đất.</w:t>
      </w:r>
    </w:p>
    <w:p w:rsidR="00EE79EF" w:rsidRPr="00644BD7" w:rsidRDefault="00EE79EF" w:rsidP="009F1709">
      <w:pPr>
        <w:spacing w:before="120" w:after="120"/>
        <w:ind w:firstLine="709"/>
        <w:jc w:val="both"/>
        <w:rPr>
          <w:sz w:val="28"/>
        </w:rPr>
      </w:pPr>
      <w:proofErr w:type="gramStart"/>
      <w:r w:rsidRPr="00644BD7">
        <w:rPr>
          <w:sz w:val="28"/>
        </w:rPr>
        <w:t>Ủy ban nhân dân tỉnh ban hành quyết định giá đất cụ thể trong thời hạn không quá năm (05) ngày làm việc kể từ ngày nhận đủ hồ sơ của Sở Tài nguyên và Môi trường.</w:t>
      </w:r>
      <w:proofErr w:type="gramEnd"/>
    </w:p>
    <w:p w:rsidR="00EE79EF" w:rsidRPr="00644BD7" w:rsidRDefault="00EE79EF" w:rsidP="009F1709">
      <w:pPr>
        <w:spacing w:before="120" w:after="120"/>
        <w:ind w:firstLine="709"/>
        <w:jc w:val="both"/>
        <w:rPr>
          <w:sz w:val="28"/>
        </w:rPr>
      </w:pPr>
      <w:r w:rsidRPr="00644BD7">
        <w:rPr>
          <w:sz w:val="28"/>
        </w:rPr>
        <w:t>Sở Tài nguyên và Môi trường chuyển quyết định giao đất, cho thuê đất, chuyển mục đích sử dụng đất, quyết định phê duyệt giá đất cụ thể và các giấy tờ có liên quan theo đúng quy định tại Khoản 2, Khoản 3, Khoản 4 Điều 3 Thông tư liên tịch số 88/2017/TTLT-BTC-BTNMT cho Văn phòng đăng ký đất đai.</w:t>
      </w:r>
    </w:p>
    <w:p w:rsidR="00EE79EF" w:rsidRPr="00644BD7" w:rsidRDefault="00EE79EF" w:rsidP="009F1709">
      <w:pPr>
        <w:spacing w:before="120" w:after="120"/>
        <w:ind w:firstLine="709"/>
        <w:jc w:val="both"/>
        <w:rPr>
          <w:sz w:val="28"/>
        </w:rPr>
      </w:pPr>
      <w:r w:rsidRPr="00644BD7">
        <w:rPr>
          <w:sz w:val="28"/>
        </w:rPr>
        <w:t>Thời gian thực hiện xác định giá đất và Ủy ban nhân dân tỉnh phê duyệt giá đất cụ thể tại Điểm b Khoản 1 Điều này là mười tám (18) ngày làm việc và không tính vào thời gian giải quyết thủ tục hành chính về đất đai, Trung tâm Phục vụ hành chính công tỉnh có trách nhiệm giải thích cho tổ chức sử dụng đất biết.</w:t>
      </w:r>
    </w:p>
    <w:p w:rsidR="00EE79EF" w:rsidRPr="00644BD7" w:rsidRDefault="00EE79EF" w:rsidP="009F1709">
      <w:pPr>
        <w:spacing w:before="120" w:after="120"/>
        <w:ind w:firstLine="709"/>
        <w:jc w:val="both"/>
        <w:rPr>
          <w:sz w:val="28"/>
        </w:rPr>
      </w:pPr>
      <w:r w:rsidRPr="00644BD7">
        <w:rPr>
          <w:sz w:val="28"/>
        </w:rPr>
        <w:t>2.</w:t>
      </w:r>
      <w:r w:rsidRPr="00644BD7">
        <w:rPr>
          <w:b/>
          <w:sz w:val="28"/>
        </w:rPr>
        <w:t xml:space="preserve"> </w:t>
      </w:r>
      <w:r w:rsidRPr="00644BD7">
        <w:rPr>
          <w:sz w:val="28"/>
        </w:rPr>
        <w:t>Văn phòng đăng ký đất đai lập Phiếu chuyển thông tin và luân chuyển kèm hồ sơ tại Khoản 2, Khoản 3, Khoản 4 Điều 3 Thông tư liên tịch số 88/2016/TTLT-BTC-BTNMT cho Cục Thuế và Sở Tài chính.</w:t>
      </w:r>
    </w:p>
    <w:p w:rsidR="00EE79EF" w:rsidRPr="00644BD7" w:rsidRDefault="00EE79EF" w:rsidP="009F1709">
      <w:pPr>
        <w:spacing w:before="120" w:after="120"/>
        <w:ind w:firstLine="709"/>
        <w:jc w:val="both"/>
        <w:rPr>
          <w:sz w:val="28"/>
        </w:rPr>
      </w:pPr>
      <w:r w:rsidRPr="00644BD7">
        <w:rPr>
          <w:sz w:val="28"/>
        </w:rPr>
        <w:t xml:space="preserve"> </w:t>
      </w:r>
      <w:proofErr w:type="gramStart"/>
      <w:r w:rsidRPr="00644BD7">
        <w:rPr>
          <w:sz w:val="28"/>
        </w:rPr>
        <w:t>Trường hợp hồ sơ không có khoản được trừ thì luân chuyển cho Cục Thuế.</w:t>
      </w:r>
      <w:proofErr w:type="gramEnd"/>
      <w:r w:rsidRPr="00644BD7">
        <w:rPr>
          <w:sz w:val="28"/>
        </w:rPr>
        <w:t xml:space="preserve"> </w:t>
      </w:r>
      <w:proofErr w:type="gramStart"/>
      <w:r w:rsidRPr="00644BD7">
        <w:rPr>
          <w:sz w:val="28"/>
        </w:rPr>
        <w:t>Trường hợp hồ sơ có khoản được trừ thì chuyển đồng thời cho Cục Thuế và Sở Tài chính.</w:t>
      </w:r>
      <w:proofErr w:type="gramEnd"/>
      <w:r w:rsidRPr="00644BD7">
        <w:rPr>
          <w:sz w:val="28"/>
        </w:rPr>
        <w:t xml:space="preserve"> Riêng trường hợp áp dụng phương pháp so sánh trực tiếp, thu nhập, chiết trừ, thặng dư và có khoản được trừ là tiền đã tự nguyện ứng trước để thực hiện giải phóng mặt bằng thì Văn phòng đăng ký đất đai lập Phiếu chuyển thông tin; luân chuyển hồ sơ gửi kèm các giấy tờ tại Khoản 2 Điều 8 Thông tư liên tịch số 88/2016/TTLT-BTC-BTNMT cho Sở Tài chính để xác định khoản được trừ vào tiền sử dụng đất, tiền thuê đất phải nộp mà không chờ quyết định phê duyệt giá đất cụ thể của Ủy ban nhân dân tỉnh.</w:t>
      </w:r>
    </w:p>
    <w:p w:rsidR="00EE79EF" w:rsidRPr="00644BD7" w:rsidRDefault="00EE79EF" w:rsidP="009F1709">
      <w:pPr>
        <w:spacing w:before="120" w:after="120"/>
        <w:ind w:firstLine="709"/>
        <w:jc w:val="both"/>
        <w:rPr>
          <w:sz w:val="28"/>
        </w:rPr>
      </w:pPr>
      <w:r w:rsidRPr="00644BD7">
        <w:rPr>
          <w:sz w:val="28"/>
        </w:rPr>
        <w:t>3. Xác định các khoản mà tổ chức sử dụng đất được trừ vào tiền sử dụng đất, tiền thuê đất phải nộp; xác định và thông báo tiền sử dụng đất, tiền thuê đất phải nộp.</w:t>
      </w:r>
    </w:p>
    <w:p w:rsidR="00EE79EF" w:rsidRPr="00644BD7" w:rsidRDefault="00EE79EF" w:rsidP="009F1709">
      <w:pPr>
        <w:spacing w:before="120" w:after="120"/>
        <w:ind w:firstLine="709"/>
        <w:jc w:val="both"/>
        <w:rPr>
          <w:sz w:val="28"/>
        </w:rPr>
      </w:pPr>
      <w:r w:rsidRPr="00644BD7">
        <w:rPr>
          <w:sz w:val="28"/>
        </w:rPr>
        <w:t>a) Sở Tài chính xác định các khoản được trừ vào tiền sử dụng đất, tiền thuê đất; chuyển thông tin về các khoản tổ chức sử dụng đất được trừ vào tiền sử dụng đất, tiền thuê đất phải nộp cho cơ quan thuế để xác định nghĩa vụ tài chính về đất đai của tổ chức sử dụng đất trong thời gian không quá năm (05) ngày làm việc đối với hồ sơ giao đất, cho thuê đất và không quá bốn (04) ngày làm việc đối với hồ sơ chuyển mục đích sử dụng đất kể từ khi nhận được Phiếu chuyển thông tin của Văn phòng đăng ký đất đai.</w:t>
      </w:r>
    </w:p>
    <w:p w:rsidR="00EE79EF" w:rsidRPr="00644BD7" w:rsidRDefault="00EE79EF" w:rsidP="009F1709">
      <w:pPr>
        <w:spacing w:before="120" w:after="120"/>
        <w:ind w:firstLine="709"/>
        <w:jc w:val="both"/>
        <w:rPr>
          <w:sz w:val="28"/>
        </w:rPr>
      </w:pPr>
      <w:r w:rsidRPr="00644BD7">
        <w:rPr>
          <w:sz w:val="28"/>
        </w:rPr>
        <w:t xml:space="preserve">b) Cơ quan thuế xác định, ban hành thông báo về nghĩa vụ tài chính của tổ chức sử dụng đất và gửi thông báo đến Trung tâm Phục vụ hành chính công tỉnh để chuyển ngay cho tổ chức sử dụng đất. Thời gian thực hiện không quá năm (05) ngày làm việc đối với hồ sơ giao đất, cho thuê đất và không quá bốn (04) ngày làm việc đối với hồ sơ chuyển mục đích sử dụng đất kể từ ngày nhận đủ hồ sơ của Văn phòng đăng ký đất đai đối với hồ sơ không có khoản được trừ vào tiền sử dụng đất, tiền thuê đất và không quá ba (03) ngày làm việc kể từ ngày nhận kết quả xác định các khoản mà tổ chức sử dụng đất được trừ theo quy định của pháp luật do Sở Tài chính chuyển đến đối với trường hợp có khoản mà tổ chức sử dụng đất được trừ vào tiền sử dụng đất, tiền thuê đất phải nộp. </w:t>
      </w:r>
    </w:p>
    <w:p w:rsidR="00EE79EF" w:rsidRPr="00644BD7" w:rsidRDefault="00EE79EF" w:rsidP="009F1709">
      <w:pPr>
        <w:shd w:val="clear" w:color="auto" w:fill="FFFFFF"/>
        <w:spacing w:before="120" w:after="120"/>
        <w:ind w:firstLine="720"/>
        <w:jc w:val="both"/>
        <w:rPr>
          <w:sz w:val="28"/>
        </w:rPr>
      </w:pPr>
      <w:r w:rsidRPr="00644BD7">
        <w:rPr>
          <w:sz w:val="28"/>
        </w:rPr>
        <w:t>4. Căn cứ xác nhận của Cục Thuế khi tổ chức sử dụng đất hoàn thành nghĩa vụ tài chính hoặc các chứng từ nộp tiền theo quy định của tổ chức sử dụng đất, Văn phòng đăng ký đất đai chỉnh lý Giấy chứng nhận hoặc Sở Tài nguyên và Môi trường cấp Giấy chứng nhận theo quy định của pháp luật.</w:t>
      </w:r>
    </w:p>
    <w:p w:rsidR="00EE79EF" w:rsidRPr="00644BD7" w:rsidRDefault="00EE79EF" w:rsidP="009F1709">
      <w:pPr>
        <w:shd w:val="clear" w:color="auto" w:fill="FFFFFF"/>
        <w:spacing w:before="120" w:after="120"/>
        <w:ind w:firstLine="720"/>
        <w:jc w:val="both"/>
        <w:rPr>
          <w:b/>
          <w:sz w:val="28"/>
        </w:rPr>
      </w:pPr>
      <w:proofErr w:type="gramStart"/>
      <w:r w:rsidRPr="00644BD7">
        <w:rPr>
          <w:b/>
          <w:sz w:val="28"/>
        </w:rPr>
        <w:t>Điều 8</w:t>
      </w:r>
      <w:r w:rsidRPr="00644BD7">
        <w:rPr>
          <w:sz w:val="28"/>
        </w:rPr>
        <w:t>.</w:t>
      </w:r>
      <w:proofErr w:type="gramEnd"/>
      <w:r w:rsidRPr="00644BD7">
        <w:rPr>
          <w:sz w:val="28"/>
        </w:rPr>
        <w:t xml:space="preserve"> </w:t>
      </w:r>
      <w:r w:rsidRPr="00644BD7">
        <w:rPr>
          <w:b/>
          <w:sz w:val="28"/>
        </w:rPr>
        <w:t>Quy trình luân chuyển hồ sơ xác định nghĩa vụ tài chính của tổ chức trong trường hợp đăng ký thay đổi tài sản gắn liền với đất; khi đăng ký cấp giấy chứng nhận quyền sở hữu nhà ở và tài sản khác gắn liền với đất</w:t>
      </w:r>
    </w:p>
    <w:p w:rsidR="00EE79EF" w:rsidRPr="00644BD7" w:rsidRDefault="00EE79EF" w:rsidP="009F1709">
      <w:pPr>
        <w:shd w:val="clear" w:color="auto" w:fill="FFFFFF"/>
        <w:spacing w:before="120" w:after="120"/>
        <w:ind w:firstLine="720"/>
        <w:jc w:val="both"/>
        <w:rPr>
          <w:sz w:val="28"/>
        </w:rPr>
      </w:pPr>
      <w:r w:rsidRPr="00644BD7">
        <w:rPr>
          <w:sz w:val="28"/>
        </w:rPr>
        <w:t xml:space="preserve">1. Sau khi nhận hồ sơ theo quy định tại Khoản 2, Khoản 3, Khoản 4, Khoản 5 Điều 6 Thông tư liên tịch số 88/2016/TTLT-BTC-BTNMT; Khoản 2 Điều 4 Quy trình này, Trung tâm Phục vụ hành chính công tỉnh chuyển ngay cho Văn phòng đăng ký đất đai để tiến hành thẩm tra thực địa (nếu có); lập Phiếu chuyển thông tin và luân chuyển cho cơ quan thuế để xác định lệ phí trước bạ. </w:t>
      </w:r>
    </w:p>
    <w:p w:rsidR="00EE79EF" w:rsidRPr="00644BD7" w:rsidRDefault="00EE79EF" w:rsidP="009F1709">
      <w:pPr>
        <w:shd w:val="clear" w:color="auto" w:fill="FFFFFF"/>
        <w:spacing w:before="120" w:after="120"/>
        <w:ind w:firstLine="720"/>
        <w:jc w:val="both"/>
        <w:rPr>
          <w:sz w:val="28"/>
        </w:rPr>
      </w:pPr>
      <w:r w:rsidRPr="00644BD7">
        <w:rPr>
          <w:sz w:val="28"/>
        </w:rPr>
        <w:t xml:space="preserve">2. Cơ quan thuế xác định lệ phí trước bạ, ban hành thông báo lệ phí trước bạ và gửi thông báo đến Trung tâm Phục vụ hành chính công tỉnh để chuyển ngay cho tổ chức sử dụng đất. Thời gian thực hiện không quá năm (05) ngày làm việc kể từ ngày nhận được Phiếu chuyển thông tin của Văn phòng đăng ký đất </w:t>
      </w:r>
      <w:proofErr w:type="gramStart"/>
      <w:r w:rsidRPr="00644BD7">
        <w:rPr>
          <w:sz w:val="28"/>
        </w:rPr>
        <w:t>đai</w:t>
      </w:r>
      <w:proofErr w:type="gramEnd"/>
      <w:r w:rsidRPr="00644BD7">
        <w:rPr>
          <w:sz w:val="28"/>
        </w:rPr>
        <w:t>.</w:t>
      </w:r>
    </w:p>
    <w:p w:rsidR="00EE79EF" w:rsidRPr="00644BD7" w:rsidRDefault="00EE79EF" w:rsidP="009F1709">
      <w:pPr>
        <w:shd w:val="clear" w:color="auto" w:fill="FFFFFF"/>
        <w:spacing w:before="120" w:after="120"/>
        <w:ind w:firstLine="720"/>
        <w:jc w:val="both"/>
        <w:rPr>
          <w:sz w:val="28"/>
        </w:rPr>
      </w:pPr>
      <w:r w:rsidRPr="00644BD7">
        <w:rPr>
          <w:sz w:val="28"/>
        </w:rPr>
        <w:t>3. Căn cứ xác nhận của Cục Thuế khi tổ chức sử dụng đất hoàn thành nghĩa vụ tài chính hoặc các chứng từ nộp tiền theo quy định của tổ chức sử dụng đất, Văn phòng đăng ký đất đai chỉnh lý hoặc trình Sở Tài nguyên và Môi trường cấp Giấy chứng nhận theo quy định của pháp luật.</w:t>
      </w:r>
    </w:p>
    <w:p w:rsidR="00EE79EF" w:rsidRPr="00644BD7" w:rsidRDefault="00EE79EF" w:rsidP="009F1709">
      <w:pPr>
        <w:shd w:val="clear" w:color="auto" w:fill="FFFFFF"/>
        <w:spacing w:before="120" w:after="120"/>
        <w:ind w:firstLine="720"/>
        <w:jc w:val="both"/>
        <w:rPr>
          <w:i/>
          <w:sz w:val="28"/>
        </w:rPr>
      </w:pPr>
      <w:proofErr w:type="gramStart"/>
      <w:r w:rsidRPr="00644BD7">
        <w:rPr>
          <w:b/>
          <w:sz w:val="28"/>
        </w:rPr>
        <w:t>Điều 9.</w:t>
      </w:r>
      <w:proofErr w:type="gramEnd"/>
      <w:r w:rsidRPr="00644BD7">
        <w:rPr>
          <w:b/>
          <w:sz w:val="28"/>
        </w:rPr>
        <w:t xml:space="preserve"> Quy trình luân chuyển hồ sơ xác định nghĩa vụ tài chính về đất đai của tổ chức sử dụng đất trong trường hợp thực hiện chuyển hình thức sử dụng đất; gia hạn quyền sử dụng đất; tăng diện tích đất thuộc trường hợp phải nộp nghĩa vụ tài chính bổ sung</w:t>
      </w:r>
    </w:p>
    <w:p w:rsidR="00EE79EF" w:rsidRPr="00644BD7" w:rsidRDefault="00EE79EF" w:rsidP="009F1709">
      <w:pPr>
        <w:spacing w:before="120" w:after="120"/>
        <w:ind w:firstLine="709"/>
        <w:jc w:val="both"/>
        <w:rPr>
          <w:sz w:val="28"/>
        </w:rPr>
      </w:pPr>
      <w:r w:rsidRPr="00644BD7">
        <w:rPr>
          <w:sz w:val="28"/>
        </w:rPr>
        <w:t>1. Sở Tài nguyên và Môi trường lựa chọn phương pháp xác định giá đất, trên cơ sở đối tượng và giá trị của diện tích tính thu tiền sử dụng đất, tiền thuê đất của thửa đất hoặc khu đất do Văn phòng đăng ký đất đai cung cấp sau khi nhận được quyết định cho phép chuyển hình thức sử dụng đất;</w:t>
      </w:r>
      <w:r w:rsidRPr="00644BD7">
        <w:rPr>
          <w:b/>
          <w:sz w:val="28"/>
        </w:rPr>
        <w:t xml:space="preserve"> </w:t>
      </w:r>
      <w:r w:rsidRPr="00644BD7">
        <w:rPr>
          <w:sz w:val="28"/>
        </w:rPr>
        <w:t>gia hạn quyền sử dụng đất; tăng diện tích đất của Ủy ban nhân dân tỉnh.</w:t>
      </w:r>
    </w:p>
    <w:p w:rsidR="00EE79EF" w:rsidRPr="00644BD7" w:rsidRDefault="00EE79EF" w:rsidP="00C32D1E">
      <w:pPr>
        <w:spacing w:before="120" w:after="120"/>
        <w:ind w:firstLine="709"/>
        <w:jc w:val="both"/>
        <w:rPr>
          <w:sz w:val="28"/>
        </w:rPr>
      </w:pPr>
      <w:r w:rsidRPr="00644BD7">
        <w:rPr>
          <w:sz w:val="28"/>
        </w:rPr>
        <w:t>a) Trường hợp áp dụng phương pháp hệ số điều chỉnh giá đất thì chuyển quyết định cho phép chuyển hình thức sử dụng đất; gia hạn quyền sử dụng đất; tăng diện tích đất và các giấy tờ có liên quan quy định tại Khoản 2, Khoản 3, Khoản 4, Khoản 5 Điều 6; Khoản 2, Khoản 3, Khoản 4 Điều 7 Thông tư liên tịch số 88/2016/TTLT-BTC-BTNMT cho Văn phòng đăng ký đất đai.</w:t>
      </w:r>
    </w:p>
    <w:p w:rsidR="00EE79EF" w:rsidRPr="00644BD7" w:rsidRDefault="00EE79EF" w:rsidP="009F1709">
      <w:pPr>
        <w:spacing w:before="120" w:after="120"/>
        <w:ind w:firstLine="709"/>
        <w:jc w:val="both"/>
        <w:rPr>
          <w:sz w:val="28"/>
        </w:rPr>
      </w:pPr>
      <w:r w:rsidRPr="00644BD7">
        <w:rPr>
          <w:sz w:val="28"/>
        </w:rPr>
        <w:t xml:space="preserve">b) Trường hợp áp dụng phương pháp so sánh trực tiếp, </w:t>
      </w:r>
      <w:proofErr w:type="gramStart"/>
      <w:r w:rsidRPr="00644BD7">
        <w:rPr>
          <w:sz w:val="28"/>
        </w:rPr>
        <w:t>thu</w:t>
      </w:r>
      <w:proofErr w:type="gramEnd"/>
      <w:r w:rsidRPr="00644BD7">
        <w:rPr>
          <w:sz w:val="28"/>
        </w:rPr>
        <w:t xml:space="preserve"> nhập, chiết trừ, thặng dư. Các bước thực hiện </w:t>
      </w:r>
      <w:proofErr w:type="gramStart"/>
      <w:r w:rsidRPr="00644BD7">
        <w:rPr>
          <w:sz w:val="28"/>
        </w:rPr>
        <w:t>theo</w:t>
      </w:r>
      <w:proofErr w:type="gramEnd"/>
      <w:r w:rsidRPr="00644BD7">
        <w:rPr>
          <w:sz w:val="28"/>
        </w:rPr>
        <w:t xml:space="preserve"> quy định tại Điểm b Khoản 1 Điều 7 Quy trình này.</w:t>
      </w:r>
    </w:p>
    <w:p w:rsidR="00EE79EF" w:rsidRPr="00644BD7" w:rsidRDefault="00EE79EF" w:rsidP="009F1709">
      <w:pPr>
        <w:spacing w:before="120" w:after="120"/>
        <w:ind w:firstLine="709"/>
        <w:jc w:val="both"/>
        <w:rPr>
          <w:sz w:val="28"/>
        </w:rPr>
      </w:pPr>
      <w:r w:rsidRPr="00644BD7">
        <w:rPr>
          <w:sz w:val="28"/>
        </w:rPr>
        <w:t>2. Văn phòng đăng ký đất đai lập Phiếu chuyển thông tin và luân chuyển kèm hồ sơ tại Khoản 2 Khoản 3, Khoản 4, Khoản 5 Điều 6; Khoản 2, Khoản 3, Khoản 4 Điều 7 Thông tư liên tịch số 88/2016/TTLT-BTC-BTNMT cho Cục Thuế theo đúng quy định.</w:t>
      </w:r>
    </w:p>
    <w:p w:rsidR="00EE79EF" w:rsidRPr="00644BD7" w:rsidRDefault="00EE79EF" w:rsidP="009F1709">
      <w:pPr>
        <w:spacing w:before="120" w:after="120"/>
        <w:ind w:firstLine="709"/>
        <w:jc w:val="both"/>
        <w:rPr>
          <w:color w:val="FF0000"/>
          <w:sz w:val="28"/>
        </w:rPr>
      </w:pPr>
      <w:r w:rsidRPr="00644BD7">
        <w:rPr>
          <w:sz w:val="28"/>
        </w:rPr>
        <w:t xml:space="preserve">3. Cơ quan thuế xác định, ban hành thông báo về nghĩa vụ tài chính của tổ chức sử dụng đất và gửi thông báo đến Trung tâm Phục vụ hành chính công tỉnh để chuyển ngay cho tổ chức sử dụng đất. Thời gian thực hiện không quá năm (05) ngày làm việc đối với hồ sơ chuyển hình thức sử dụng đất; không quá ba (03) ngày làm việc đối với hồ sơ tăng diện tích đất thuộc trường hợp phải nộp nghĩa vụ tài chính bổ sung và không quá hai (02) ngày làm việc đối với hồ sơ gia hạn quyền sử dụng đất kể từ ngày nhận đủ hồ sơ của Văn phòng đăng ký đất đai. </w:t>
      </w:r>
    </w:p>
    <w:p w:rsidR="00EE79EF" w:rsidRPr="00644BD7" w:rsidRDefault="00EE79EF" w:rsidP="009F1709">
      <w:pPr>
        <w:spacing w:before="120" w:after="120"/>
        <w:ind w:firstLine="709"/>
        <w:jc w:val="both"/>
        <w:rPr>
          <w:sz w:val="28"/>
        </w:rPr>
      </w:pPr>
      <w:r w:rsidRPr="00644BD7">
        <w:rPr>
          <w:sz w:val="28"/>
        </w:rPr>
        <w:t>4. Căn cứ xác nhận của Cục Thuế khi tổ chức sử dụng đất hoàn thành nghĩa vụ tài chính hoặc các chứng từ nộp tiền theo quy định của tổ chức sử dụng đất, Văn phòng đăng ký đất đai chỉnh lý hoặc trình Sở Tài nguyên và Môi trường cấp Giấy chứng nhận theo quy định của pháp luật.</w:t>
      </w:r>
    </w:p>
    <w:p w:rsidR="00EE79EF" w:rsidRPr="00644BD7" w:rsidRDefault="00EE79EF" w:rsidP="009F1709">
      <w:pPr>
        <w:shd w:val="clear" w:color="auto" w:fill="FFFFFF"/>
        <w:spacing w:before="120" w:after="120"/>
        <w:ind w:firstLine="720"/>
        <w:jc w:val="both"/>
        <w:rPr>
          <w:b/>
          <w:sz w:val="28"/>
        </w:rPr>
      </w:pPr>
      <w:proofErr w:type="gramStart"/>
      <w:r w:rsidRPr="00644BD7">
        <w:rPr>
          <w:b/>
          <w:sz w:val="28"/>
        </w:rPr>
        <w:t>Điều 10.</w:t>
      </w:r>
      <w:proofErr w:type="gramEnd"/>
      <w:r w:rsidRPr="00644BD7">
        <w:rPr>
          <w:b/>
          <w:sz w:val="28"/>
        </w:rPr>
        <w:t xml:space="preserve"> Quy trình luân chuyển hồ sơ xác định nghĩa vụ tài chính về đất </w:t>
      </w:r>
      <w:proofErr w:type="gramStart"/>
      <w:r w:rsidRPr="00644BD7">
        <w:rPr>
          <w:b/>
          <w:sz w:val="28"/>
        </w:rPr>
        <w:t>đai</w:t>
      </w:r>
      <w:proofErr w:type="gramEnd"/>
      <w:r w:rsidRPr="00644BD7">
        <w:rPr>
          <w:b/>
          <w:sz w:val="28"/>
        </w:rPr>
        <w:t xml:space="preserve"> của tổ chức sử dụng đất trong trường hợp chuyển nhượng, góp vốn bằng quyền sử dụng đất, tài sản gắn liền với đất</w:t>
      </w:r>
    </w:p>
    <w:p w:rsidR="00EE79EF" w:rsidRPr="00644BD7" w:rsidRDefault="00EE79EF" w:rsidP="009F1709">
      <w:pPr>
        <w:shd w:val="clear" w:color="auto" w:fill="FFFFFF"/>
        <w:spacing w:before="120" w:after="120"/>
        <w:ind w:firstLine="720"/>
        <w:jc w:val="both"/>
        <w:rPr>
          <w:sz w:val="28"/>
        </w:rPr>
      </w:pPr>
      <w:r w:rsidRPr="00644BD7">
        <w:rPr>
          <w:sz w:val="28"/>
        </w:rPr>
        <w:t>1. Sau khi nhận được hồ sơ từ tổ chức sử dụng đất, Trung tâm Phục vụ hành chính công tỉnh chuyển ngay cho Văn phòng đăng ký đất đai để tiến hành thẩm định hồ sơ; lập phiếu chuyển thông tin và chuyển cho cơ quan thuế để xác định lệ phí trước bạ và thuế thu nhập doanh nhiệp.</w:t>
      </w:r>
    </w:p>
    <w:p w:rsidR="00EE79EF" w:rsidRPr="00644BD7" w:rsidRDefault="00EE79EF" w:rsidP="009F1709">
      <w:pPr>
        <w:shd w:val="clear" w:color="auto" w:fill="FFFFFF"/>
        <w:spacing w:before="120" w:after="120"/>
        <w:ind w:firstLine="720"/>
        <w:jc w:val="both"/>
        <w:rPr>
          <w:sz w:val="28"/>
        </w:rPr>
      </w:pPr>
      <w:r w:rsidRPr="00644BD7">
        <w:rPr>
          <w:sz w:val="28"/>
        </w:rPr>
        <w:t xml:space="preserve">2. Cơ quan thuế xác định lệ phí trước bạ, thuế thu nhập doanh nghiệp, ban hành thông báo lệ phí trước bạ, thuế thu nhập doanh nghiệp và gửi thông báo cho Trung tâm Phục vụ hành chính công tỉnh để chuyển ngay cho tổ chức sử dụng đất, sở hữu tài sản gắn liền với đất. Thời gian thực hiện không quá năm (05) ngày làm việc kể từ ngày nhận đủ hồ sơ của Văn phòng đăng ký đất </w:t>
      </w:r>
      <w:proofErr w:type="gramStart"/>
      <w:r w:rsidRPr="00644BD7">
        <w:rPr>
          <w:sz w:val="28"/>
        </w:rPr>
        <w:t>đai</w:t>
      </w:r>
      <w:proofErr w:type="gramEnd"/>
      <w:r w:rsidRPr="00644BD7">
        <w:rPr>
          <w:sz w:val="28"/>
        </w:rPr>
        <w:t>.</w:t>
      </w:r>
    </w:p>
    <w:p w:rsidR="00EE79EF" w:rsidRPr="00644BD7" w:rsidRDefault="00EE79EF" w:rsidP="00225AFC">
      <w:pPr>
        <w:shd w:val="clear" w:color="auto" w:fill="FFFFFF"/>
        <w:spacing w:before="120" w:after="120"/>
        <w:ind w:firstLine="720"/>
        <w:jc w:val="both"/>
        <w:rPr>
          <w:sz w:val="28"/>
        </w:rPr>
      </w:pPr>
      <w:r w:rsidRPr="00644BD7">
        <w:rPr>
          <w:sz w:val="28"/>
        </w:rPr>
        <w:t>3. Căn cứ xác nhận của Cục Thuế khi tổ chức sử dụng đất, sở hữu tài sản gắn liền với đất hoàn thành nghĩa vụ tài chính hoặc các chứng từ nộp tiền theo quy định của tổ chức sử dụng đất, sở hữu tài sản gắn liền với đất, Văn phòng đăng ký đất đai chỉnh lý hoặc trình Sở Tài nguyên và Môi trường cấp Giấy chứng nhận theo quy định của pháp luật.</w:t>
      </w:r>
    </w:p>
    <w:p w:rsidR="00EE79EF" w:rsidRPr="00644BD7" w:rsidRDefault="00EE79EF" w:rsidP="009F1709">
      <w:pPr>
        <w:shd w:val="clear" w:color="auto" w:fill="FFFFFF"/>
        <w:spacing w:before="120" w:after="120"/>
        <w:ind w:firstLine="720"/>
        <w:jc w:val="both"/>
        <w:rPr>
          <w:b/>
          <w:sz w:val="28"/>
        </w:rPr>
      </w:pPr>
      <w:proofErr w:type="gramStart"/>
      <w:r w:rsidRPr="00644BD7">
        <w:rPr>
          <w:b/>
          <w:sz w:val="28"/>
        </w:rPr>
        <w:t>Điều 11.</w:t>
      </w:r>
      <w:proofErr w:type="gramEnd"/>
      <w:r w:rsidRPr="00644BD7">
        <w:rPr>
          <w:b/>
          <w:sz w:val="28"/>
        </w:rPr>
        <w:t xml:space="preserve"> Quy trình luân chuyển hồ sơ xác định nghĩa vụ tài chính về đất </w:t>
      </w:r>
      <w:proofErr w:type="gramStart"/>
      <w:r w:rsidRPr="00644BD7">
        <w:rPr>
          <w:b/>
          <w:sz w:val="28"/>
        </w:rPr>
        <w:t>đai</w:t>
      </w:r>
      <w:proofErr w:type="gramEnd"/>
      <w:r w:rsidRPr="00644BD7">
        <w:rPr>
          <w:b/>
          <w:sz w:val="28"/>
        </w:rPr>
        <w:t xml:space="preserve"> của tổ chức sử dụng đất trong trường hợp điều chỉnh quy hoạch xây dựng chi tiết của dự án thuộc trường hợp phải nộp nghĩa vụ tài chính bổ sung</w:t>
      </w:r>
    </w:p>
    <w:p w:rsidR="00EE79EF" w:rsidRPr="00644BD7" w:rsidRDefault="00EE79EF" w:rsidP="009F1709">
      <w:pPr>
        <w:spacing w:before="120" w:after="120"/>
        <w:ind w:firstLine="709"/>
        <w:jc w:val="both"/>
        <w:rPr>
          <w:sz w:val="28"/>
        </w:rPr>
      </w:pPr>
      <w:r w:rsidRPr="00644BD7">
        <w:rPr>
          <w:sz w:val="28"/>
        </w:rPr>
        <w:t>1. Sở Tài nguyên và Môi trường lựa chọn phương pháp xác định giá đất, trên cơ sở đối tượng và giá trị của diện tích tính thu tiền sử dụng đất, tiền thuê đất của thửa đất hoặc khu đất sau khi nhận được quyết định điều chỉnh cơ cấu sử dụng đất của Ủy ban nhân dân tỉnh.</w:t>
      </w:r>
    </w:p>
    <w:p w:rsidR="00EE79EF" w:rsidRPr="00644BD7" w:rsidRDefault="00EE79EF" w:rsidP="009F1709">
      <w:pPr>
        <w:spacing w:before="120" w:after="120"/>
        <w:ind w:firstLine="709"/>
        <w:jc w:val="both"/>
        <w:rPr>
          <w:sz w:val="28"/>
        </w:rPr>
      </w:pPr>
      <w:r w:rsidRPr="00644BD7">
        <w:rPr>
          <w:sz w:val="28"/>
        </w:rPr>
        <w:t xml:space="preserve">a) Trường hợp giá đất tính tiền sử dụng đất trước khi điều chỉnh được xác định </w:t>
      </w:r>
      <w:proofErr w:type="gramStart"/>
      <w:r w:rsidRPr="00644BD7">
        <w:rPr>
          <w:sz w:val="28"/>
        </w:rPr>
        <w:t>theo</w:t>
      </w:r>
      <w:proofErr w:type="gramEnd"/>
      <w:r w:rsidRPr="00644BD7">
        <w:rPr>
          <w:sz w:val="28"/>
        </w:rPr>
        <w:t xml:space="preserve"> phương pháp hệ số điều chỉnh giá đất thì tiếp tục thực hiện xác định theo phương pháp hệ số điều chỉnh giá đất. Sở Tài nguyên và Môi trường chuyển quyết định điều chỉnh cơ cấu sử dụng đất và các giấy tờ có liên quan quy định tại Khoản 2, Khoản 3, Khoản 4, Khoản 5 Điều 7 Thông tư liên tịch số 88/2016/TTLT-BTC-BTNMT cho Văn phòng đăng ký đất đai.</w:t>
      </w:r>
    </w:p>
    <w:p w:rsidR="00EE79EF" w:rsidRPr="00644BD7" w:rsidRDefault="00EE79EF" w:rsidP="009F1709">
      <w:pPr>
        <w:spacing w:before="120" w:after="120"/>
        <w:ind w:firstLine="709"/>
        <w:jc w:val="both"/>
        <w:rPr>
          <w:sz w:val="28"/>
        </w:rPr>
      </w:pPr>
      <w:r w:rsidRPr="00644BD7">
        <w:rPr>
          <w:sz w:val="28"/>
        </w:rPr>
        <w:t xml:space="preserve">b) Trường hợp giá </w:t>
      </w:r>
      <w:r w:rsidRPr="00644BD7">
        <w:rPr>
          <w:sz w:val="28"/>
          <w:lang w:val="nb-NO"/>
        </w:rPr>
        <w:t xml:space="preserve">đất tính tiền sử dụng đất trước khi điều chỉnh được xác định </w:t>
      </w:r>
      <w:proofErr w:type="gramStart"/>
      <w:r w:rsidRPr="00644BD7">
        <w:rPr>
          <w:sz w:val="28"/>
          <w:lang w:val="nb-NO"/>
        </w:rPr>
        <w:t>theo</w:t>
      </w:r>
      <w:proofErr w:type="gramEnd"/>
      <w:r w:rsidRPr="00644BD7">
        <w:rPr>
          <w:sz w:val="28"/>
          <w:lang w:val="nb-NO"/>
        </w:rPr>
        <w:t xml:space="preserve"> các phương pháp so sánh trực tiếp, chiết trừ, thu nhập, thặng dư</w:t>
      </w:r>
      <w:r w:rsidRPr="00644BD7">
        <w:rPr>
          <w:sz w:val="28"/>
        </w:rPr>
        <w:t xml:space="preserve"> thì tiếp tục thực hiện xác định theo các phương pháp này. Các bước thực hiện </w:t>
      </w:r>
      <w:proofErr w:type="gramStart"/>
      <w:r w:rsidRPr="00644BD7">
        <w:rPr>
          <w:sz w:val="28"/>
        </w:rPr>
        <w:t>theo</w:t>
      </w:r>
      <w:proofErr w:type="gramEnd"/>
      <w:r w:rsidRPr="00644BD7">
        <w:rPr>
          <w:sz w:val="28"/>
        </w:rPr>
        <w:t xml:space="preserve"> quy định tại Điểm b Khoản 1 Điều 7 Quy trình này.</w:t>
      </w:r>
    </w:p>
    <w:p w:rsidR="00EE79EF" w:rsidRPr="00644BD7" w:rsidRDefault="00EE79EF" w:rsidP="009F1709">
      <w:pPr>
        <w:spacing w:before="120" w:after="120"/>
        <w:ind w:firstLine="709"/>
        <w:jc w:val="both"/>
        <w:rPr>
          <w:sz w:val="28"/>
        </w:rPr>
      </w:pPr>
      <w:r w:rsidRPr="00644BD7">
        <w:rPr>
          <w:sz w:val="28"/>
        </w:rPr>
        <w:t>2. Văn phòng đăng ký đất đai lập Phiếu chuyển thông tin và luân chuyển kèm hồ sơ tại Khoản 2, Khoản 3, Khoản 4, Khoản 5 Điều 7 Thông tư liên tịch số 88/2016/TTLT-BTC-BTNMT cho Cục Thuế.</w:t>
      </w:r>
    </w:p>
    <w:p w:rsidR="00EE79EF" w:rsidRPr="00644BD7" w:rsidRDefault="00EE79EF" w:rsidP="009F1709">
      <w:pPr>
        <w:spacing w:before="120" w:after="120"/>
        <w:ind w:firstLine="709"/>
        <w:jc w:val="both"/>
        <w:rPr>
          <w:sz w:val="28"/>
        </w:rPr>
      </w:pPr>
      <w:r w:rsidRPr="00644BD7">
        <w:rPr>
          <w:sz w:val="28"/>
        </w:rPr>
        <w:t xml:space="preserve">3. Cục Thuế phải xác định, ban hành Thông báo về nghĩa vụ tài chính của tổ chức sử dụng đất và gửi Thông báo cho Trung tâm Phục vụ hành chính công tỉnh để chuyển ngay cho tổ chức sử dụng đất. Thời gian thực hiện không quá năm (05) ngày làm việc kể từ ngày nhận đủ hồ sơ của Văn phòng đăng ký đất </w:t>
      </w:r>
      <w:proofErr w:type="gramStart"/>
      <w:r w:rsidRPr="00644BD7">
        <w:rPr>
          <w:sz w:val="28"/>
        </w:rPr>
        <w:t>đai</w:t>
      </w:r>
      <w:proofErr w:type="gramEnd"/>
      <w:r w:rsidRPr="00644BD7">
        <w:rPr>
          <w:sz w:val="28"/>
        </w:rPr>
        <w:t>.</w:t>
      </w:r>
    </w:p>
    <w:p w:rsidR="00EE79EF" w:rsidRPr="00644BD7" w:rsidRDefault="00EE79EF" w:rsidP="001E495B">
      <w:pPr>
        <w:shd w:val="clear" w:color="auto" w:fill="FFFFFF"/>
        <w:spacing w:before="120" w:after="120"/>
        <w:ind w:firstLine="720"/>
        <w:jc w:val="both"/>
        <w:rPr>
          <w:sz w:val="28"/>
        </w:rPr>
      </w:pPr>
      <w:r w:rsidRPr="00644BD7">
        <w:rPr>
          <w:sz w:val="28"/>
        </w:rPr>
        <w:t>4. Căn cứ xác nhận của Cục Thuế khi tổ chức sử dụng đất hoàn thành nghĩa vụ tài chính hoặc các chứng từ nộp tiền theo quy định của tổ chức sử dụng đất, Văn phòng đăng ký đất đai chỉnh lý hoặc trình Sở Tài nguyên và Môi trường cấp Giấy chứng nhận theo quy định của pháp luật.</w:t>
      </w:r>
    </w:p>
    <w:p w:rsidR="00EE79EF" w:rsidRPr="00644BD7" w:rsidRDefault="00EE79EF" w:rsidP="009F1709">
      <w:pPr>
        <w:spacing w:before="120" w:after="120"/>
        <w:ind w:firstLine="709"/>
        <w:jc w:val="both"/>
        <w:rPr>
          <w:b/>
          <w:sz w:val="28"/>
        </w:rPr>
      </w:pPr>
      <w:proofErr w:type="gramStart"/>
      <w:r w:rsidRPr="00644BD7">
        <w:rPr>
          <w:b/>
          <w:sz w:val="28"/>
        </w:rPr>
        <w:t>Điều 12.</w:t>
      </w:r>
      <w:proofErr w:type="gramEnd"/>
      <w:r w:rsidRPr="00644BD7">
        <w:rPr>
          <w:b/>
          <w:sz w:val="28"/>
        </w:rPr>
        <w:t xml:space="preserve"> Quy trình luân chuyển hồ sơ xác định nghĩa vụ tài chính về đất </w:t>
      </w:r>
      <w:proofErr w:type="gramStart"/>
      <w:r w:rsidRPr="00644BD7">
        <w:rPr>
          <w:b/>
          <w:sz w:val="28"/>
        </w:rPr>
        <w:t>đai</w:t>
      </w:r>
      <w:proofErr w:type="gramEnd"/>
      <w:r w:rsidRPr="00644BD7">
        <w:rPr>
          <w:b/>
          <w:sz w:val="28"/>
        </w:rPr>
        <w:t xml:space="preserve"> của tổ chức sử dụng đất trong trường hợp cho thuê, cho thuê lại quyền sử dụng đất</w:t>
      </w:r>
    </w:p>
    <w:p w:rsidR="00EE79EF" w:rsidRPr="00644BD7" w:rsidRDefault="00EE79EF" w:rsidP="009F1709">
      <w:pPr>
        <w:shd w:val="clear" w:color="auto" w:fill="FFFFFF"/>
        <w:spacing w:before="120" w:after="120"/>
        <w:ind w:firstLine="720"/>
        <w:jc w:val="both"/>
        <w:rPr>
          <w:sz w:val="28"/>
        </w:rPr>
      </w:pPr>
      <w:r w:rsidRPr="00644BD7">
        <w:rPr>
          <w:sz w:val="28"/>
        </w:rPr>
        <w:t>1. Sau khi tiếp nhận hồ sơ từ tổ chức sử dụng đất, Trung tâm Phục vụ hành chính công tỉnh chuyển ngay cho Văn phòng đăng ký đất đai để tiến hành thẩm định hồ sơ; lập Phiếu chuyển thông tin và luân chuyển kèm hồ sơ tại Khoản 2 Điều 4 Quy trình này cho cơ quan thuế để xác định lệ phí trước bạ.</w:t>
      </w:r>
    </w:p>
    <w:p w:rsidR="00EE79EF" w:rsidRPr="00644BD7" w:rsidRDefault="00EE79EF" w:rsidP="009F1709">
      <w:pPr>
        <w:shd w:val="clear" w:color="auto" w:fill="FFFFFF"/>
        <w:spacing w:before="120" w:after="120"/>
        <w:ind w:firstLine="720"/>
        <w:jc w:val="both"/>
        <w:rPr>
          <w:sz w:val="28"/>
        </w:rPr>
      </w:pPr>
      <w:r w:rsidRPr="00644BD7">
        <w:rPr>
          <w:sz w:val="28"/>
        </w:rPr>
        <w:t>2. Cơ quan thuế xác định lệ phí trước bạ, ban hành thông báo lệ phí trước bạ và gửi thông báo cho Trung tâm Phục vụ hành chính công tỉnh để chuyển ngay cho tổ chức sử dụng đất. Thời gian thực hiện không quá một phẩy năm (1</w:t>
      </w:r>
      <w:proofErr w:type="gramStart"/>
      <w:r w:rsidRPr="00644BD7">
        <w:rPr>
          <w:sz w:val="28"/>
        </w:rPr>
        <w:t>,5</w:t>
      </w:r>
      <w:proofErr w:type="gramEnd"/>
      <w:r w:rsidRPr="00644BD7">
        <w:rPr>
          <w:sz w:val="28"/>
        </w:rPr>
        <w:t>) ngày làm việc kể từ ngày nhận đủ hồ sơ của Văn phòng đăng ký đất đai.</w:t>
      </w:r>
    </w:p>
    <w:p w:rsidR="00EE79EF" w:rsidRPr="00644BD7" w:rsidRDefault="00EE79EF" w:rsidP="00BF4FF2">
      <w:pPr>
        <w:shd w:val="clear" w:color="auto" w:fill="FFFFFF"/>
        <w:spacing w:before="120" w:after="120"/>
        <w:ind w:firstLine="720"/>
        <w:jc w:val="both"/>
        <w:rPr>
          <w:sz w:val="28"/>
        </w:rPr>
      </w:pPr>
      <w:r w:rsidRPr="00644BD7">
        <w:rPr>
          <w:sz w:val="28"/>
        </w:rPr>
        <w:t>3. Căn cứ xác nhận của Cục Thuế khi tổ chức sử dụng đất hoàn thành nghĩa vụ tài chính hoặc các chứng từ nộp tiền theo quy định của tổ chức sử dụng đất, Văn phòng đăng ký đất đai chỉnh lý hoặc trình Sở Tài nguyên và Môi trường cấp Giấy chứng nhận theo quy định của pháp luật.</w:t>
      </w:r>
    </w:p>
    <w:p w:rsidR="00EE79EF" w:rsidRPr="000809D6" w:rsidRDefault="00EE79EF" w:rsidP="009B201F">
      <w:pPr>
        <w:spacing w:before="120" w:after="120"/>
        <w:ind w:firstLine="720"/>
        <w:jc w:val="center"/>
        <w:rPr>
          <w:b/>
          <w:bCs/>
        </w:rPr>
      </w:pPr>
      <w:r w:rsidRPr="000809D6">
        <w:rPr>
          <w:b/>
          <w:bCs/>
        </w:rPr>
        <w:t>Mục 3</w:t>
      </w:r>
    </w:p>
    <w:p w:rsidR="00EE79EF" w:rsidRPr="000809D6" w:rsidRDefault="00EE79EF" w:rsidP="009B201F">
      <w:pPr>
        <w:spacing w:before="120" w:after="120"/>
        <w:ind w:firstLine="720"/>
        <w:jc w:val="center"/>
        <w:rPr>
          <w:b/>
          <w:bCs/>
        </w:rPr>
      </w:pPr>
      <w:r w:rsidRPr="000809D6">
        <w:rPr>
          <w:b/>
          <w:bCs/>
        </w:rPr>
        <w:t>QUY ĐỊNH TRÁCH NHIỆM CỦA CÁC CƠ QUAN, TỔ CHỨC</w:t>
      </w:r>
    </w:p>
    <w:p w:rsidR="00EE79EF" w:rsidRPr="00644BD7" w:rsidRDefault="00EE79EF" w:rsidP="009F1709">
      <w:pPr>
        <w:spacing w:before="120" w:after="120"/>
        <w:ind w:firstLine="720"/>
        <w:jc w:val="both"/>
        <w:rPr>
          <w:sz w:val="28"/>
        </w:rPr>
      </w:pPr>
      <w:r w:rsidRPr="00644BD7">
        <w:rPr>
          <w:b/>
          <w:bCs/>
          <w:sz w:val="28"/>
          <w:lang w:val="vi-VN"/>
        </w:rPr>
        <w:t xml:space="preserve">Điều </w:t>
      </w:r>
      <w:r w:rsidRPr="00644BD7">
        <w:rPr>
          <w:b/>
          <w:bCs/>
          <w:sz w:val="28"/>
        </w:rPr>
        <w:t>13</w:t>
      </w:r>
      <w:r w:rsidRPr="00644BD7">
        <w:rPr>
          <w:b/>
          <w:bCs/>
          <w:sz w:val="28"/>
          <w:lang w:val="vi-VN"/>
        </w:rPr>
        <w:t>. Trách nhiệm của</w:t>
      </w:r>
      <w:r w:rsidRPr="00644BD7">
        <w:rPr>
          <w:b/>
          <w:bCs/>
          <w:sz w:val="28"/>
        </w:rPr>
        <w:t xml:space="preserve"> tổ chức </w:t>
      </w:r>
      <w:r w:rsidRPr="00644BD7">
        <w:rPr>
          <w:b/>
          <w:bCs/>
          <w:sz w:val="28"/>
          <w:lang w:val="vi-VN"/>
        </w:rPr>
        <w:t>sử dụng đất,</w:t>
      </w:r>
      <w:r w:rsidRPr="00644BD7">
        <w:rPr>
          <w:b/>
          <w:bCs/>
          <w:sz w:val="28"/>
        </w:rPr>
        <w:t xml:space="preserve"> </w:t>
      </w:r>
      <w:r w:rsidRPr="00644BD7">
        <w:rPr>
          <w:b/>
          <w:bCs/>
          <w:sz w:val="28"/>
          <w:lang w:val="vi-VN"/>
        </w:rPr>
        <w:t>sở hữu tài sản gắn liền với đất</w:t>
      </w:r>
    </w:p>
    <w:p w:rsidR="00EE79EF" w:rsidRPr="000809D6" w:rsidRDefault="00EE79EF" w:rsidP="009F1709">
      <w:pPr>
        <w:pStyle w:val="NormalWeb"/>
        <w:spacing w:before="120" w:after="120"/>
        <w:ind w:firstLine="720"/>
        <w:jc w:val="both"/>
        <w:rPr>
          <w:bCs/>
          <w:sz w:val="28"/>
          <w:szCs w:val="28"/>
        </w:rPr>
      </w:pPr>
      <w:r w:rsidRPr="000809D6">
        <w:rPr>
          <w:sz w:val="28"/>
          <w:szCs w:val="28"/>
        </w:rPr>
        <w:t xml:space="preserve">Thực hiện </w:t>
      </w:r>
      <w:proofErr w:type="gramStart"/>
      <w:r w:rsidRPr="000809D6">
        <w:rPr>
          <w:sz w:val="28"/>
          <w:szCs w:val="28"/>
        </w:rPr>
        <w:t>theo</w:t>
      </w:r>
      <w:proofErr w:type="gramEnd"/>
      <w:r w:rsidRPr="000809D6">
        <w:rPr>
          <w:sz w:val="28"/>
          <w:szCs w:val="28"/>
        </w:rPr>
        <w:t xml:space="preserve"> quy định tại Điều 9 Thông tư liên tịch số 88/2016/TTLT-BTC-BTNM</w:t>
      </w:r>
      <w:r w:rsidRPr="000809D6">
        <w:rPr>
          <w:bCs/>
          <w:sz w:val="28"/>
          <w:szCs w:val="28"/>
        </w:rPr>
        <w:t xml:space="preserve">. </w:t>
      </w:r>
    </w:p>
    <w:p w:rsidR="00EE79EF" w:rsidRPr="000809D6" w:rsidRDefault="00EE79EF" w:rsidP="009F1709">
      <w:pPr>
        <w:pStyle w:val="NormalWeb"/>
        <w:spacing w:before="120" w:after="120"/>
        <w:ind w:firstLine="720"/>
        <w:jc w:val="both"/>
        <w:rPr>
          <w:sz w:val="28"/>
          <w:szCs w:val="28"/>
        </w:rPr>
      </w:pPr>
      <w:r w:rsidRPr="000809D6">
        <w:rPr>
          <w:b/>
          <w:bCs/>
          <w:sz w:val="28"/>
          <w:szCs w:val="28"/>
          <w:lang w:val="vi-VN"/>
        </w:rPr>
        <w:t xml:space="preserve">Điều </w:t>
      </w:r>
      <w:r w:rsidRPr="000809D6">
        <w:rPr>
          <w:b/>
          <w:bCs/>
          <w:sz w:val="28"/>
          <w:szCs w:val="28"/>
        </w:rPr>
        <w:t>1</w:t>
      </w:r>
      <w:r>
        <w:rPr>
          <w:b/>
          <w:bCs/>
          <w:sz w:val="28"/>
          <w:szCs w:val="28"/>
        </w:rPr>
        <w:t>4</w:t>
      </w:r>
      <w:r w:rsidRPr="000809D6">
        <w:rPr>
          <w:b/>
          <w:bCs/>
          <w:sz w:val="28"/>
          <w:szCs w:val="28"/>
          <w:lang w:val="vi-VN"/>
        </w:rPr>
        <w:t xml:space="preserve">. Trách nhiệm của </w:t>
      </w:r>
      <w:r w:rsidRPr="000809D6">
        <w:rPr>
          <w:b/>
          <w:bCs/>
          <w:sz w:val="28"/>
          <w:szCs w:val="28"/>
        </w:rPr>
        <w:t>Trung tâm Phục vụ hành chính công tỉnh</w:t>
      </w:r>
    </w:p>
    <w:p w:rsidR="00EE79EF" w:rsidRPr="00AE0182" w:rsidRDefault="00EE79EF" w:rsidP="009F1709">
      <w:pPr>
        <w:pStyle w:val="NormalWeb"/>
        <w:spacing w:before="120" w:after="120"/>
        <w:ind w:firstLine="720"/>
        <w:jc w:val="both"/>
        <w:rPr>
          <w:sz w:val="28"/>
          <w:szCs w:val="28"/>
          <w:lang w:val="vi-VN"/>
        </w:rPr>
      </w:pPr>
      <w:r w:rsidRPr="000809D6">
        <w:rPr>
          <w:sz w:val="28"/>
          <w:szCs w:val="28"/>
          <w:lang w:val="vi-VN"/>
        </w:rPr>
        <w:t xml:space="preserve">Hướng dẫn tổ chức sử dụng đất kê khai hồ sơ; tiếp nhận, kiểm tra tính đầy đủ, thống nhất thông tin của hồ sơ. </w:t>
      </w:r>
      <w:r w:rsidRPr="000809D6">
        <w:rPr>
          <w:sz w:val="28"/>
          <w:szCs w:val="28"/>
          <w:shd w:val="clear" w:color="auto" w:fill="FFFFFF"/>
          <w:lang w:val="vi-VN"/>
        </w:rPr>
        <w:t>Trường hợp</w:t>
      </w:r>
      <w:r w:rsidRPr="000809D6">
        <w:rPr>
          <w:sz w:val="28"/>
          <w:szCs w:val="28"/>
          <w:lang w:val="vi-VN"/>
        </w:rPr>
        <w:t xml:space="preserve"> hồ sơ chưa đủ thì trả lại ngay trong ngày làm việc và hướng dẫn người nộp hoàn thiện hồ sơ theo </w:t>
      </w:r>
      <w:r w:rsidRPr="00AE0182">
        <w:rPr>
          <w:sz w:val="28"/>
          <w:szCs w:val="28"/>
          <w:lang w:val="vi-VN"/>
        </w:rPr>
        <w:t>quy định</w:t>
      </w:r>
      <w:r w:rsidRPr="000809D6">
        <w:rPr>
          <w:sz w:val="28"/>
          <w:szCs w:val="28"/>
          <w:lang w:val="vi-VN"/>
        </w:rPr>
        <w:t xml:space="preserve">. Trường hợp hồ sơ đầy đủ thì tiếp nhận và luân chuyển </w:t>
      </w:r>
      <w:r w:rsidRPr="00AE0182">
        <w:rPr>
          <w:sz w:val="28"/>
          <w:szCs w:val="28"/>
          <w:lang w:val="vi-VN"/>
        </w:rPr>
        <w:t xml:space="preserve">cho các đơn vị </w:t>
      </w:r>
      <w:r w:rsidRPr="000809D6">
        <w:rPr>
          <w:sz w:val="28"/>
          <w:szCs w:val="28"/>
          <w:lang w:val="vi-VN"/>
        </w:rPr>
        <w:t xml:space="preserve">theo </w:t>
      </w:r>
      <w:r w:rsidRPr="00AE0182">
        <w:rPr>
          <w:sz w:val="28"/>
          <w:szCs w:val="28"/>
          <w:lang w:val="vi-VN"/>
        </w:rPr>
        <w:t>quy định</w:t>
      </w:r>
      <w:r w:rsidRPr="000809D6">
        <w:rPr>
          <w:sz w:val="28"/>
          <w:szCs w:val="28"/>
          <w:lang w:val="vi-VN"/>
        </w:rPr>
        <w:t>.</w:t>
      </w:r>
      <w:r w:rsidRPr="00AE0182">
        <w:rPr>
          <w:sz w:val="28"/>
          <w:szCs w:val="28"/>
          <w:lang w:val="vi-VN"/>
        </w:rPr>
        <w:t xml:space="preserve"> Chuyển ngay Thông báo về nghĩa vụ tài chính cho tổ chức sử dụng đất, sở hữu tài sản gắn liền với đất khi cơ quan thuế chuyển đến.</w:t>
      </w:r>
    </w:p>
    <w:p w:rsidR="00EE79EF" w:rsidRPr="00AE0182" w:rsidRDefault="00EE79EF" w:rsidP="009F1709">
      <w:pPr>
        <w:pStyle w:val="NormalWeb"/>
        <w:spacing w:before="120" w:after="120"/>
        <w:ind w:firstLine="720"/>
        <w:jc w:val="both"/>
        <w:rPr>
          <w:b/>
          <w:bCs/>
          <w:sz w:val="28"/>
          <w:szCs w:val="28"/>
          <w:lang w:val="vi-VN"/>
        </w:rPr>
      </w:pPr>
      <w:r w:rsidRPr="000809D6">
        <w:rPr>
          <w:b/>
          <w:bCs/>
          <w:sz w:val="28"/>
          <w:szCs w:val="28"/>
          <w:lang w:val="vi-VN"/>
        </w:rPr>
        <w:t xml:space="preserve">Điều </w:t>
      </w:r>
      <w:r w:rsidRPr="00AE0182">
        <w:rPr>
          <w:b/>
          <w:bCs/>
          <w:sz w:val="28"/>
          <w:szCs w:val="28"/>
          <w:lang w:val="vi-VN"/>
        </w:rPr>
        <w:t>15</w:t>
      </w:r>
      <w:r w:rsidRPr="000809D6">
        <w:rPr>
          <w:b/>
          <w:bCs/>
          <w:sz w:val="28"/>
          <w:szCs w:val="28"/>
          <w:lang w:val="vi-VN"/>
        </w:rPr>
        <w:t xml:space="preserve">. Trách nhiệm của </w:t>
      </w:r>
      <w:r w:rsidRPr="00AE0182">
        <w:rPr>
          <w:b/>
          <w:bCs/>
          <w:sz w:val="28"/>
          <w:szCs w:val="28"/>
          <w:lang w:val="vi-VN"/>
        </w:rPr>
        <w:t>Sở T</w:t>
      </w:r>
      <w:r w:rsidRPr="000809D6">
        <w:rPr>
          <w:b/>
          <w:bCs/>
          <w:sz w:val="28"/>
          <w:szCs w:val="28"/>
          <w:lang w:val="vi-VN"/>
        </w:rPr>
        <w:t xml:space="preserve">ài </w:t>
      </w:r>
      <w:r w:rsidRPr="00AE0182">
        <w:rPr>
          <w:b/>
          <w:bCs/>
          <w:sz w:val="28"/>
          <w:szCs w:val="28"/>
          <w:lang w:val="vi-VN"/>
        </w:rPr>
        <w:t>nguyên và Môi trường, Văn phòng đăng ký đất đai</w:t>
      </w:r>
    </w:p>
    <w:p w:rsidR="00EE79EF" w:rsidRPr="00AE0182" w:rsidRDefault="00EE79EF" w:rsidP="009F1709">
      <w:pPr>
        <w:pStyle w:val="NormalWeb"/>
        <w:spacing w:before="120" w:after="120"/>
        <w:ind w:firstLine="720"/>
        <w:jc w:val="both"/>
        <w:rPr>
          <w:sz w:val="28"/>
          <w:szCs w:val="28"/>
          <w:lang w:val="vi-VN"/>
        </w:rPr>
      </w:pPr>
      <w:r w:rsidRPr="00AE0182">
        <w:rPr>
          <w:sz w:val="28"/>
          <w:szCs w:val="28"/>
          <w:lang w:val="vi-VN"/>
        </w:rPr>
        <w:t xml:space="preserve">1. Sở Tài nguyên và Môi trường </w:t>
      </w:r>
      <w:r w:rsidRPr="000809D6">
        <w:rPr>
          <w:sz w:val="28"/>
          <w:szCs w:val="28"/>
          <w:lang w:val="vi-VN"/>
        </w:rPr>
        <w:t>có trách nhiệm:</w:t>
      </w:r>
    </w:p>
    <w:p w:rsidR="00EE79EF" w:rsidRPr="00AE0182" w:rsidRDefault="00EE79EF" w:rsidP="00721E35">
      <w:pPr>
        <w:pStyle w:val="NormalWeb"/>
        <w:spacing w:before="120" w:after="120"/>
        <w:ind w:firstLine="720"/>
        <w:jc w:val="both"/>
        <w:rPr>
          <w:bCs/>
          <w:sz w:val="28"/>
          <w:szCs w:val="28"/>
          <w:lang w:val="vi-VN"/>
        </w:rPr>
      </w:pPr>
      <w:r w:rsidRPr="00AE0182">
        <w:rPr>
          <w:bCs/>
          <w:sz w:val="28"/>
          <w:szCs w:val="28"/>
          <w:lang w:val="vi-VN"/>
        </w:rPr>
        <w:t xml:space="preserve">Kiểm tra hồ sơ và trình cấp có thẩm quyền ban hành quyết định giao đất, cho thuê đất, chuyển mục đích sử dụng đất theo quy định. </w:t>
      </w:r>
    </w:p>
    <w:p w:rsidR="00EE79EF" w:rsidRPr="00AE0182" w:rsidRDefault="00EE79EF" w:rsidP="00721E35">
      <w:pPr>
        <w:pStyle w:val="NormalWeb"/>
        <w:spacing w:before="120" w:after="120"/>
        <w:ind w:firstLine="720"/>
        <w:jc w:val="both"/>
        <w:rPr>
          <w:sz w:val="28"/>
          <w:szCs w:val="28"/>
          <w:lang w:val="vi-VN"/>
        </w:rPr>
      </w:pPr>
      <w:r w:rsidRPr="00AE0182">
        <w:rPr>
          <w:bCs/>
          <w:sz w:val="28"/>
          <w:szCs w:val="28"/>
          <w:lang w:val="vi-VN"/>
        </w:rPr>
        <w:t>Thực hiện giải quyết các nhiệm vụ của đơn vị nhằm đảm bảo đúng trình tự thủ tục và đúng thời gian quy định.</w:t>
      </w:r>
    </w:p>
    <w:p w:rsidR="00EE79EF" w:rsidRPr="00AE0182" w:rsidRDefault="00EE79EF" w:rsidP="009F1709">
      <w:pPr>
        <w:pStyle w:val="NormalWeb"/>
        <w:spacing w:before="120" w:after="120"/>
        <w:ind w:firstLine="720"/>
        <w:jc w:val="both"/>
        <w:rPr>
          <w:sz w:val="28"/>
          <w:szCs w:val="28"/>
          <w:lang w:val="vi-VN"/>
        </w:rPr>
      </w:pPr>
      <w:r w:rsidRPr="00AE0182">
        <w:rPr>
          <w:sz w:val="28"/>
          <w:szCs w:val="28"/>
          <w:lang w:val="vi-VN"/>
        </w:rPr>
        <w:t>2</w:t>
      </w:r>
      <w:r w:rsidRPr="000809D6">
        <w:rPr>
          <w:sz w:val="28"/>
          <w:szCs w:val="28"/>
          <w:lang w:val="vi-VN"/>
        </w:rPr>
        <w:t>. Văn phòng đăng ký đất đai có trách nhiệm:</w:t>
      </w:r>
    </w:p>
    <w:p w:rsidR="00EE79EF" w:rsidRPr="00AE0182" w:rsidRDefault="00EE79EF" w:rsidP="009F1709">
      <w:pPr>
        <w:pStyle w:val="NormalWeb"/>
        <w:spacing w:before="120" w:after="120"/>
        <w:ind w:firstLine="720"/>
        <w:jc w:val="both"/>
        <w:rPr>
          <w:sz w:val="28"/>
          <w:szCs w:val="28"/>
          <w:lang w:val="vi-VN"/>
        </w:rPr>
      </w:pPr>
      <w:r w:rsidRPr="00AE0182">
        <w:rPr>
          <w:sz w:val="28"/>
          <w:szCs w:val="28"/>
          <w:lang w:val="vi-VN"/>
        </w:rPr>
        <w:t xml:space="preserve"> Thực hiện theo quy định tại Khoản 4 Điều 10 Thông tư liên tịch số 88/2016/TTLT-BTC-BTNMT</w:t>
      </w:r>
      <w:r w:rsidRPr="00AE0182">
        <w:rPr>
          <w:bCs/>
          <w:sz w:val="28"/>
          <w:szCs w:val="28"/>
          <w:lang w:val="vi-VN"/>
        </w:rPr>
        <w:t>.</w:t>
      </w:r>
    </w:p>
    <w:p w:rsidR="00EE79EF" w:rsidRPr="000809D6" w:rsidRDefault="00EE79EF" w:rsidP="009F1709">
      <w:pPr>
        <w:pStyle w:val="NormalWeb"/>
        <w:spacing w:before="120" w:after="120"/>
        <w:ind w:firstLine="720"/>
        <w:jc w:val="both"/>
        <w:rPr>
          <w:sz w:val="28"/>
          <w:szCs w:val="28"/>
          <w:lang w:val="vi-VN"/>
        </w:rPr>
      </w:pPr>
      <w:r w:rsidRPr="000809D6">
        <w:rPr>
          <w:b/>
          <w:bCs/>
          <w:sz w:val="28"/>
          <w:szCs w:val="28"/>
          <w:lang w:val="vi-VN"/>
        </w:rPr>
        <w:t xml:space="preserve">Điều </w:t>
      </w:r>
      <w:r w:rsidRPr="00AE0182">
        <w:rPr>
          <w:b/>
          <w:bCs/>
          <w:sz w:val="28"/>
          <w:szCs w:val="28"/>
          <w:lang w:val="vi-VN"/>
        </w:rPr>
        <w:t>16</w:t>
      </w:r>
      <w:r w:rsidRPr="000809D6">
        <w:rPr>
          <w:b/>
          <w:bCs/>
          <w:sz w:val="28"/>
          <w:szCs w:val="28"/>
          <w:lang w:val="vi-VN"/>
        </w:rPr>
        <w:t xml:space="preserve">. Trách nhiệm của </w:t>
      </w:r>
      <w:r w:rsidRPr="00AE0182">
        <w:rPr>
          <w:b/>
          <w:bCs/>
          <w:sz w:val="28"/>
          <w:szCs w:val="28"/>
          <w:lang w:val="vi-VN"/>
        </w:rPr>
        <w:t>Sở Tài</w:t>
      </w:r>
      <w:r w:rsidRPr="000809D6">
        <w:rPr>
          <w:b/>
          <w:bCs/>
          <w:sz w:val="28"/>
          <w:szCs w:val="28"/>
          <w:lang w:val="vi-VN"/>
        </w:rPr>
        <w:t xml:space="preserve"> chính</w:t>
      </w:r>
    </w:p>
    <w:p w:rsidR="00EE79EF" w:rsidRPr="00644BD7" w:rsidRDefault="00EE79EF" w:rsidP="00721E35">
      <w:pPr>
        <w:shd w:val="clear" w:color="auto" w:fill="FFFFFF"/>
        <w:spacing w:before="120" w:after="120"/>
        <w:ind w:firstLine="709"/>
        <w:jc w:val="both"/>
        <w:rPr>
          <w:bCs/>
          <w:sz w:val="28"/>
          <w:lang w:val="vi-VN"/>
        </w:rPr>
      </w:pPr>
      <w:r w:rsidRPr="00644BD7">
        <w:rPr>
          <w:bCs/>
          <w:sz w:val="28"/>
          <w:lang w:val="vi-VN"/>
        </w:rPr>
        <w:t>Thực hiện theo quy định tại Điều 11 Thông tư liên tịch số 88/2016/TTLT-BTC-BTNMT.</w:t>
      </w:r>
    </w:p>
    <w:p w:rsidR="00EE79EF" w:rsidRPr="00644BD7" w:rsidRDefault="00EE79EF" w:rsidP="009F1709">
      <w:pPr>
        <w:shd w:val="clear" w:color="auto" w:fill="FFFFFF"/>
        <w:spacing w:before="120" w:after="120"/>
        <w:ind w:firstLine="709"/>
        <w:jc w:val="both"/>
        <w:rPr>
          <w:b/>
          <w:bCs/>
          <w:sz w:val="28"/>
          <w:lang w:val="vi-VN"/>
        </w:rPr>
      </w:pPr>
      <w:r w:rsidRPr="00644BD7">
        <w:rPr>
          <w:b/>
          <w:bCs/>
          <w:sz w:val="28"/>
          <w:lang w:val="vi-VN"/>
        </w:rPr>
        <w:t xml:space="preserve">Điều 17. Trách nhiệm của cơ quan thuế </w:t>
      </w:r>
    </w:p>
    <w:p w:rsidR="00EE79EF" w:rsidRPr="00644BD7" w:rsidRDefault="00EE79EF" w:rsidP="009F1709">
      <w:pPr>
        <w:shd w:val="clear" w:color="auto" w:fill="FFFFFF"/>
        <w:spacing w:before="120" w:after="120"/>
        <w:ind w:firstLine="709"/>
        <w:jc w:val="both"/>
        <w:rPr>
          <w:bCs/>
          <w:sz w:val="28"/>
          <w:lang w:val="vi-VN"/>
        </w:rPr>
      </w:pPr>
      <w:r w:rsidRPr="00644BD7">
        <w:rPr>
          <w:bCs/>
          <w:sz w:val="28"/>
          <w:lang w:val="vi-VN"/>
        </w:rPr>
        <w:t xml:space="preserve">1. Thực hiện theo quy định tại Khoản 1, Khoản 2, Khoản 5, Khoản 6, Khoản 7, Khoản 8 Điều 12 Thông tư liên tịch số 88/2016/TTLT-BTC-BTNMT. </w:t>
      </w:r>
    </w:p>
    <w:p w:rsidR="00EE79EF" w:rsidRPr="00644BD7" w:rsidRDefault="00EE79EF" w:rsidP="009F1709">
      <w:pPr>
        <w:shd w:val="clear" w:color="auto" w:fill="FFFFFF"/>
        <w:spacing w:before="120" w:after="120"/>
        <w:ind w:firstLine="709"/>
        <w:jc w:val="both"/>
        <w:rPr>
          <w:bCs/>
          <w:sz w:val="28"/>
          <w:lang w:val="vi-VN"/>
        </w:rPr>
      </w:pPr>
      <w:r w:rsidRPr="00644BD7">
        <w:rPr>
          <w:bCs/>
          <w:sz w:val="28"/>
          <w:lang w:val="vi-VN"/>
        </w:rPr>
        <w:t xml:space="preserve">2. </w:t>
      </w:r>
      <w:r w:rsidRPr="00644BD7">
        <w:rPr>
          <w:sz w:val="28"/>
          <w:shd w:val="clear" w:color="auto" w:fill="FFFFFF"/>
          <w:lang w:val="vi-VN"/>
        </w:rPr>
        <w:t>Xác nhận việc hoàn thành nghĩa vụ tài chính trên phần mềm điện tử quản lý hồ sơ một cửa</w:t>
      </w:r>
      <w:r w:rsidRPr="00644BD7">
        <w:rPr>
          <w:bCs/>
          <w:sz w:val="28"/>
          <w:lang w:val="vi-VN"/>
        </w:rPr>
        <w:t xml:space="preserve"> do Trung tâm Phục vụ hành chính công tỉnh quản lý</w:t>
      </w:r>
      <w:r w:rsidRPr="00644BD7">
        <w:rPr>
          <w:sz w:val="28"/>
          <w:shd w:val="clear" w:color="auto" w:fill="FFFFFF"/>
          <w:lang w:val="vi-VN"/>
        </w:rPr>
        <w:t>.</w:t>
      </w:r>
    </w:p>
    <w:p w:rsidR="00EE79EF" w:rsidRPr="00644BD7" w:rsidRDefault="00EE79EF" w:rsidP="00C47890">
      <w:pPr>
        <w:shd w:val="clear" w:color="auto" w:fill="FFFFFF"/>
        <w:spacing w:before="120" w:after="120"/>
        <w:ind w:firstLine="709"/>
        <w:jc w:val="both"/>
        <w:rPr>
          <w:bCs/>
          <w:sz w:val="28"/>
          <w:lang w:val="vi-VN"/>
        </w:rPr>
      </w:pPr>
      <w:r w:rsidRPr="00644BD7">
        <w:rPr>
          <w:bCs/>
          <w:sz w:val="28"/>
          <w:lang w:val="vi-VN"/>
        </w:rPr>
        <w:t xml:space="preserve">3. </w:t>
      </w:r>
      <w:r w:rsidRPr="00644BD7">
        <w:rPr>
          <w:sz w:val="28"/>
          <w:shd w:val="clear" w:color="auto" w:fill="FFFFFF"/>
          <w:lang w:val="vi-VN"/>
        </w:rPr>
        <w:t>Xác định và ban hành Thông báo về nghĩa vụ tài chính của người sử dụng đất theo các Mẫu tương ứng quy định tại Phụ lục ban hành kèm theo các Thông tư số</w:t>
      </w:r>
      <w:r w:rsidRPr="00644BD7">
        <w:rPr>
          <w:rStyle w:val="apple-converted-space"/>
          <w:sz w:val="28"/>
          <w:shd w:val="clear" w:color="auto" w:fill="FFFFFF"/>
          <w:lang w:val="vi-VN"/>
        </w:rPr>
        <w:t> </w:t>
      </w:r>
      <w:hyperlink r:id="rId9" w:tgtFrame="_blank" w:history="1">
        <w:r w:rsidRPr="00644BD7">
          <w:rPr>
            <w:rStyle w:val="Hyperlink"/>
            <w:color w:val="auto"/>
            <w:sz w:val="28"/>
            <w:u w:val="none"/>
            <w:shd w:val="clear" w:color="auto" w:fill="FFFFFF"/>
            <w:lang w:val="vi-VN"/>
          </w:rPr>
          <w:t>76/2014/TT-BTC</w:t>
        </w:r>
      </w:hyperlink>
      <w:r w:rsidRPr="00644BD7">
        <w:rPr>
          <w:rStyle w:val="apple-converted-space"/>
          <w:sz w:val="28"/>
          <w:shd w:val="clear" w:color="auto" w:fill="FFFFFF"/>
          <w:lang w:val="vi-VN"/>
        </w:rPr>
        <w:t> </w:t>
      </w:r>
      <w:r w:rsidRPr="00644BD7">
        <w:rPr>
          <w:sz w:val="28"/>
          <w:shd w:val="clear" w:color="auto" w:fill="FFFFFF"/>
          <w:lang w:val="vi-VN"/>
        </w:rPr>
        <w:t>ngày 16/6/2014 của Bộ trưởng Bộ Tài chính hướng dẫn một số điều của Nghị định số</w:t>
      </w:r>
      <w:r w:rsidRPr="00644BD7">
        <w:rPr>
          <w:rStyle w:val="apple-converted-space"/>
          <w:sz w:val="28"/>
          <w:shd w:val="clear" w:color="auto" w:fill="FFFFFF"/>
          <w:lang w:val="vi-VN"/>
        </w:rPr>
        <w:t> </w:t>
      </w:r>
      <w:hyperlink r:id="rId10" w:tgtFrame="_blank" w:history="1">
        <w:r w:rsidRPr="00644BD7">
          <w:rPr>
            <w:rStyle w:val="Hyperlink"/>
            <w:color w:val="auto"/>
            <w:sz w:val="28"/>
            <w:u w:val="none"/>
            <w:shd w:val="clear" w:color="auto" w:fill="FFFFFF"/>
            <w:lang w:val="vi-VN"/>
          </w:rPr>
          <w:t>45/2014/NĐ-CP</w:t>
        </w:r>
      </w:hyperlink>
      <w:r w:rsidRPr="00644BD7">
        <w:rPr>
          <w:rStyle w:val="apple-converted-space"/>
          <w:sz w:val="28"/>
          <w:shd w:val="clear" w:color="auto" w:fill="FFFFFF"/>
          <w:lang w:val="vi-VN"/>
        </w:rPr>
        <w:t> </w:t>
      </w:r>
      <w:r w:rsidRPr="00644BD7">
        <w:rPr>
          <w:sz w:val="28"/>
          <w:shd w:val="clear" w:color="auto" w:fill="FFFFFF"/>
          <w:lang w:val="vi-VN"/>
        </w:rPr>
        <w:t>ngày 15/5/2014 của Chính phủ quy định về thu tiền sử dụng đất; Thông tư số</w:t>
      </w:r>
      <w:r w:rsidRPr="00644BD7">
        <w:rPr>
          <w:rStyle w:val="apple-converted-space"/>
          <w:sz w:val="28"/>
          <w:shd w:val="clear" w:color="auto" w:fill="FFFFFF"/>
          <w:lang w:val="vi-VN"/>
        </w:rPr>
        <w:t> </w:t>
      </w:r>
      <w:hyperlink r:id="rId11" w:tgtFrame="_blank" w:history="1">
        <w:r w:rsidRPr="00644BD7">
          <w:rPr>
            <w:rStyle w:val="Hyperlink"/>
            <w:color w:val="auto"/>
            <w:sz w:val="28"/>
            <w:u w:val="none"/>
            <w:shd w:val="clear" w:color="auto" w:fill="FFFFFF"/>
            <w:lang w:val="vi-VN"/>
          </w:rPr>
          <w:t>77/2014/TT-BTC</w:t>
        </w:r>
      </w:hyperlink>
      <w:r w:rsidRPr="00644BD7">
        <w:rPr>
          <w:rStyle w:val="apple-converted-space"/>
          <w:sz w:val="28"/>
          <w:shd w:val="clear" w:color="auto" w:fill="FFFFFF"/>
          <w:lang w:val="vi-VN"/>
        </w:rPr>
        <w:t> </w:t>
      </w:r>
      <w:r w:rsidRPr="00644BD7">
        <w:rPr>
          <w:sz w:val="28"/>
          <w:shd w:val="clear" w:color="auto" w:fill="FFFFFF"/>
          <w:lang w:val="vi-VN"/>
        </w:rPr>
        <w:t>ngày 16/6/2014 của Bộ trưởng Bộ Tài chính hướng dẫn một số điều của Nghị định số</w:t>
      </w:r>
      <w:r w:rsidRPr="00644BD7">
        <w:rPr>
          <w:rStyle w:val="apple-converted-space"/>
          <w:sz w:val="28"/>
          <w:shd w:val="clear" w:color="auto" w:fill="FFFFFF"/>
          <w:lang w:val="vi-VN"/>
        </w:rPr>
        <w:t> </w:t>
      </w:r>
      <w:hyperlink r:id="rId12" w:tgtFrame="_blank" w:history="1">
        <w:r w:rsidRPr="00644BD7">
          <w:rPr>
            <w:rStyle w:val="Hyperlink"/>
            <w:color w:val="auto"/>
            <w:sz w:val="28"/>
            <w:u w:val="none"/>
            <w:shd w:val="clear" w:color="auto" w:fill="FFFFFF"/>
            <w:lang w:val="vi-VN"/>
          </w:rPr>
          <w:t>46/2014/NĐ-CP</w:t>
        </w:r>
      </w:hyperlink>
      <w:r w:rsidRPr="00644BD7">
        <w:rPr>
          <w:rStyle w:val="apple-converted-space"/>
          <w:sz w:val="28"/>
          <w:shd w:val="clear" w:color="auto" w:fill="FFFFFF"/>
          <w:lang w:val="vi-VN"/>
        </w:rPr>
        <w:t> </w:t>
      </w:r>
      <w:r w:rsidRPr="00644BD7">
        <w:rPr>
          <w:sz w:val="28"/>
          <w:shd w:val="clear" w:color="auto" w:fill="FFFFFF"/>
          <w:lang w:val="vi-VN"/>
        </w:rPr>
        <w:t xml:space="preserve">ngày 15/5/2014 của Chính phủ quy định về thu tiền thuê đất, thuê mặt nước và quy định của pháp luật về quản lý thuế. Thông báo đơn giá thuê đất theo Mẫu số 02/LCHS tại Phụ lục ban hành kèm theo </w:t>
      </w:r>
      <w:r w:rsidRPr="00644BD7">
        <w:rPr>
          <w:bCs/>
          <w:sz w:val="28"/>
          <w:lang w:val="vi-VN"/>
        </w:rPr>
        <w:t xml:space="preserve">Thông tư liên tịch số 88/2016/TTLT-BTC-BTNMT. </w:t>
      </w:r>
      <w:r w:rsidRPr="00644BD7">
        <w:rPr>
          <w:sz w:val="28"/>
          <w:shd w:val="clear" w:color="auto" w:fill="FFFFFF"/>
          <w:lang w:val="vi-VN"/>
        </w:rPr>
        <w:t>Mỗi loại thông báo lập thành bốn (04) bản để gửi: 01 bản cho người sử dụng đất thông qua Trung tâm Phục vụ hành chính công tỉnh, 01 bản cho Văn phòng đăng ký đất đai, 01 bản cho Kho bạc nhà nước, 01 bản lưu tại cơ quan thuế.</w:t>
      </w:r>
    </w:p>
    <w:p w:rsidR="00EE79EF" w:rsidRPr="00644BD7" w:rsidRDefault="00EE79EF" w:rsidP="009F1709">
      <w:pPr>
        <w:shd w:val="clear" w:color="auto" w:fill="FFFFFF"/>
        <w:spacing w:before="120" w:after="120"/>
        <w:ind w:firstLine="709"/>
        <w:jc w:val="both"/>
        <w:rPr>
          <w:b/>
          <w:bCs/>
          <w:sz w:val="28"/>
          <w:lang w:val="vi-VN"/>
        </w:rPr>
      </w:pPr>
      <w:r w:rsidRPr="00644BD7">
        <w:rPr>
          <w:b/>
          <w:bCs/>
          <w:sz w:val="28"/>
          <w:lang w:val="vi-VN"/>
        </w:rPr>
        <w:t>Điều 18. Trách nhiệm của Kho bạc nhà nước</w:t>
      </w:r>
    </w:p>
    <w:p w:rsidR="00EE79EF" w:rsidRPr="00AE0182" w:rsidRDefault="00EE79EF" w:rsidP="009F1709">
      <w:pPr>
        <w:pStyle w:val="NormalWeb"/>
        <w:spacing w:before="120" w:after="120"/>
        <w:ind w:firstLine="720"/>
        <w:jc w:val="both"/>
        <w:rPr>
          <w:bCs/>
          <w:sz w:val="28"/>
          <w:szCs w:val="28"/>
          <w:lang w:val="vi-VN"/>
        </w:rPr>
      </w:pPr>
      <w:r w:rsidRPr="00AE0182">
        <w:rPr>
          <w:sz w:val="28"/>
          <w:szCs w:val="28"/>
          <w:lang w:val="vi-VN"/>
        </w:rPr>
        <w:t>- Thực hiện theo quy định tại Điều 13 Thông tư liên tịch số 88/2016/TTLT-BTC-BTNMT</w:t>
      </w:r>
      <w:r w:rsidRPr="00AE0182">
        <w:rPr>
          <w:bCs/>
          <w:sz w:val="28"/>
          <w:szCs w:val="28"/>
          <w:lang w:val="vi-VN"/>
        </w:rPr>
        <w:t>.</w:t>
      </w:r>
    </w:p>
    <w:p w:rsidR="00EE79EF" w:rsidRPr="00AE0182" w:rsidRDefault="00EE79EF" w:rsidP="009F1709">
      <w:pPr>
        <w:pStyle w:val="NormalWeb"/>
        <w:spacing w:before="120" w:after="120"/>
        <w:ind w:firstLine="720"/>
        <w:jc w:val="both"/>
        <w:rPr>
          <w:bCs/>
          <w:sz w:val="28"/>
          <w:szCs w:val="28"/>
          <w:lang w:val="vi-VN"/>
        </w:rPr>
      </w:pPr>
      <w:r w:rsidRPr="00AE0182">
        <w:rPr>
          <w:sz w:val="28"/>
          <w:szCs w:val="28"/>
          <w:lang w:val="vi-VN"/>
        </w:rPr>
        <w:t xml:space="preserve">- </w:t>
      </w:r>
      <w:r w:rsidRPr="00AE0182">
        <w:rPr>
          <w:bCs/>
          <w:sz w:val="28"/>
          <w:szCs w:val="28"/>
          <w:lang w:val="vi-VN"/>
        </w:rPr>
        <w:t>Chuyển thông tin đến Cục Thuế để kiểm tra và xác nhận việc hoàn thành nghĩa vụ tài chính (kể cả các khoản chậm nộp nếu có) đối với tổ chức sử dụng đất, sở hữu tài sản gắn liền với đất.</w:t>
      </w:r>
    </w:p>
    <w:p w:rsidR="00EE79EF" w:rsidRPr="00AE0182" w:rsidRDefault="00EE79EF" w:rsidP="009F1709">
      <w:pPr>
        <w:pStyle w:val="NormalWeb"/>
        <w:spacing w:before="120" w:after="120"/>
        <w:ind w:firstLine="720"/>
        <w:jc w:val="both"/>
        <w:rPr>
          <w:b/>
          <w:sz w:val="28"/>
          <w:szCs w:val="28"/>
          <w:lang w:val="vi-VN"/>
        </w:rPr>
      </w:pPr>
      <w:r w:rsidRPr="00AE0182">
        <w:rPr>
          <w:b/>
          <w:sz w:val="28"/>
          <w:szCs w:val="28"/>
          <w:lang w:val="vi-VN"/>
        </w:rPr>
        <w:t>Điều 19. Thủ tục bàn giao, tiếp nhận hồ sơ xác định nghĩa vụ tài chính về đất đai của tổ chức sử dụng đất giữa Văn phòng đăng ký đất đai và cơ quan thuế</w:t>
      </w:r>
    </w:p>
    <w:p w:rsidR="00EE79EF" w:rsidRPr="00AE0182" w:rsidRDefault="00EE79EF" w:rsidP="00644BD7">
      <w:pPr>
        <w:pStyle w:val="NormalWeb"/>
        <w:spacing w:before="120" w:after="120"/>
        <w:ind w:firstLine="720"/>
        <w:jc w:val="both"/>
        <w:rPr>
          <w:b/>
          <w:sz w:val="28"/>
          <w:szCs w:val="28"/>
          <w:lang w:val="vi-VN"/>
        </w:rPr>
      </w:pPr>
      <w:r w:rsidRPr="00AE0182">
        <w:rPr>
          <w:sz w:val="28"/>
          <w:szCs w:val="28"/>
          <w:lang w:val="vi-VN"/>
        </w:rPr>
        <w:t>Thực hiện theo quy định tại Điều 14 Thông tư liên tịch số 88/2016/TTLT-BTC-BTNM</w:t>
      </w:r>
      <w:r w:rsidRPr="00AE0182">
        <w:rPr>
          <w:bCs/>
          <w:sz w:val="28"/>
          <w:szCs w:val="28"/>
          <w:lang w:val="vi-VN"/>
        </w:rPr>
        <w:t>. Về phương thức và địa điểm bàn giao hồ sơ thực hiện bằng phần mềm điện tử liên thông giữa các đơn vị; chuyển theo đường bưu điện hoặc chuyển trực tiếp đến đơn vị.</w:t>
      </w:r>
    </w:p>
    <w:p w:rsidR="00EE79EF" w:rsidRPr="00AE0182" w:rsidRDefault="00EE79EF" w:rsidP="009B201F">
      <w:pPr>
        <w:pStyle w:val="NormalWeb"/>
        <w:spacing w:before="120" w:after="120"/>
        <w:ind w:firstLine="709"/>
        <w:jc w:val="center"/>
        <w:rPr>
          <w:b/>
          <w:sz w:val="28"/>
          <w:szCs w:val="28"/>
          <w:lang w:val="vi-VN"/>
        </w:rPr>
      </w:pPr>
      <w:r w:rsidRPr="00AE0182">
        <w:rPr>
          <w:b/>
          <w:sz w:val="28"/>
          <w:szCs w:val="28"/>
          <w:lang w:val="vi-VN"/>
        </w:rPr>
        <w:t>Chương III</w:t>
      </w:r>
    </w:p>
    <w:p w:rsidR="00EE79EF" w:rsidRPr="00AE0182" w:rsidRDefault="00EE79EF" w:rsidP="009B201F">
      <w:pPr>
        <w:pStyle w:val="NormalWeb"/>
        <w:spacing w:before="120" w:after="120"/>
        <w:ind w:firstLine="709"/>
        <w:jc w:val="center"/>
        <w:rPr>
          <w:b/>
          <w:sz w:val="28"/>
          <w:szCs w:val="28"/>
          <w:lang w:val="vi-VN"/>
        </w:rPr>
      </w:pPr>
      <w:r w:rsidRPr="00AE0182">
        <w:rPr>
          <w:b/>
          <w:sz w:val="28"/>
          <w:szCs w:val="28"/>
          <w:lang w:val="vi-VN"/>
        </w:rPr>
        <w:t>TỔ CHỨC THỰC HIỆN</w:t>
      </w:r>
    </w:p>
    <w:p w:rsidR="00EE79EF" w:rsidRPr="00AE0182" w:rsidRDefault="00EE79EF" w:rsidP="009F1709">
      <w:pPr>
        <w:pStyle w:val="NormalWeb"/>
        <w:spacing w:before="120" w:after="120"/>
        <w:ind w:firstLine="720"/>
        <w:jc w:val="both"/>
        <w:rPr>
          <w:b/>
          <w:sz w:val="28"/>
          <w:szCs w:val="28"/>
          <w:lang w:val="vi-VN"/>
        </w:rPr>
      </w:pPr>
      <w:r w:rsidRPr="00AE0182">
        <w:rPr>
          <w:b/>
          <w:sz w:val="28"/>
          <w:szCs w:val="28"/>
          <w:lang w:val="vi-VN"/>
        </w:rPr>
        <w:t>Điều 20. Trách nhiệm thi hành</w:t>
      </w:r>
    </w:p>
    <w:p w:rsidR="00EE79EF" w:rsidRPr="00AE0182" w:rsidRDefault="00EE79EF" w:rsidP="009F1709">
      <w:pPr>
        <w:pStyle w:val="NormalWeb"/>
        <w:spacing w:before="120" w:after="120"/>
        <w:ind w:firstLine="720"/>
        <w:jc w:val="both"/>
        <w:rPr>
          <w:sz w:val="28"/>
          <w:szCs w:val="28"/>
          <w:lang w:val="vi-VN"/>
        </w:rPr>
      </w:pPr>
      <w:r w:rsidRPr="00AE0182">
        <w:rPr>
          <w:sz w:val="28"/>
          <w:szCs w:val="28"/>
          <w:lang w:val="vi-VN"/>
        </w:rPr>
        <w:t>1. Trung tâm Phục vụ hành chính công tỉnh; Sở Tài nguyên và Môi trường; Văn phòng đăng ký đất đai; cơ quan thuế (Cục Thuế; Chi cục Thuế các huyện, thị xã, thành phố); Sở Tài chính; Kho bạc Nhà nước</w:t>
      </w:r>
      <w:r w:rsidRPr="000809D6">
        <w:rPr>
          <w:sz w:val="28"/>
          <w:szCs w:val="28"/>
          <w:lang w:val="vi-VN" w:eastAsia="vi-VN"/>
        </w:rPr>
        <w:t xml:space="preserve"> </w:t>
      </w:r>
      <w:r w:rsidRPr="00AE0182">
        <w:rPr>
          <w:sz w:val="28"/>
          <w:szCs w:val="28"/>
          <w:lang w:val="vi-VN" w:eastAsia="vi-VN"/>
        </w:rPr>
        <w:t xml:space="preserve">các cấp </w:t>
      </w:r>
      <w:r w:rsidRPr="00AE0182">
        <w:rPr>
          <w:sz w:val="28"/>
          <w:szCs w:val="28"/>
          <w:lang w:val="vi-VN"/>
        </w:rPr>
        <w:t>có trách nhiệm thực hiện giải quyết hồ sơ xác định nghĩa vụ tài chính về đất đai của tổ chức sử dụng đất trong thời hạn quy định tại Quy trình này. Chịu trách nhiệm theo nhiệm vụ được phân công đối với trường hợp chậm xử lý gây thiệt hại cho nhà nước và tổ chức sử dụng đất.</w:t>
      </w:r>
    </w:p>
    <w:p w:rsidR="00EE79EF" w:rsidRPr="00644BD7" w:rsidRDefault="00EE79EF" w:rsidP="009F1709">
      <w:pPr>
        <w:spacing w:before="120" w:after="120"/>
        <w:ind w:firstLine="720"/>
        <w:jc w:val="both"/>
        <w:rPr>
          <w:sz w:val="28"/>
          <w:lang w:val="nl-NL"/>
        </w:rPr>
      </w:pPr>
      <w:r w:rsidRPr="00644BD7">
        <w:rPr>
          <w:sz w:val="28"/>
          <w:lang w:val="nl-NL"/>
        </w:rPr>
        <w:t>2. Các nội dung khác về việc luân chuyển hồ sơ xác định nghĩa vụ tài chính về đất đai của tổ chức sử dụng đất thực hiện theo các quy định tại Thông tư liên tịch số 88/2016/TTLT/BTC-BTNMT.</w:t>
      </w:r>
    </w:p>
    <w:p w:rsidR="00EE79EF" w:rsidRDefault="00EE79EF" w:rsidP="00644BD7">
      <w:pPr>
        <w:pStyle w:val="NormalWeb"/>
        <w:spacing w:before="120" w:after="120"/>
        <w:ind w:firstLine="720"/>
        <w:jc w:val="both"/>
        <w:rPr>
          <w:b/>
          <w:sz w:val="28"/>
          <w:szCs w:val="28"/>
          <w:lang w:val="nl-NL"/>
        </w:rPr>
      </w:pPr>
      <w:r w:rsidRPr="00AE0182">
        <w:rPr>
          <w:sz w:val="28"/>
          <w:szCs w:val="28"/>
          <w:lang w:val="nl-NL"/>
        </w:rPr>
        <w:t>3. Trong quá trình tổ chức thực hiện, nếu có vướng mắc đề nghị các cơ quan và tổ chức, cá nhân phản ánh kịp thời về Sở Tài nguyên và Môi trường để tổng hợp tham mưu trình Ủy ban nhân dân tỉnh hướng dẫn, sửa đổi và bổ sung cho phù hợp</w:t>
      </w:r>
      <w:r w:rsidRPr="000809D6">
        <w:rPr>
          <w:sz w:val="28"/>
          <w:szCs w:val="28"/>
          <w:lang w:val="nl-NL"/>
        </w:rPr>
        <w:t>./.</w:t>
      </w:r>
      <w:r>
        <w:rPr>
          <w:b/>
          <w:sz w:val="28"/>
          <w:szCs w:val="28"/>
          <w:lang w:val="nl-NL"/>
        </w:rPr>
        <w:tab/>
      </w:r>
    </w:p>
    <w:p w:rsidR="00EE79EF" w:rsidRDefault="00EE79EF" w:rsidP="00EE79EF">
      <w:pPr>
        <w:pStyle w:val="NormalWeb"/>
        <w:tabs>
          <w:tab w:val="left" w:pos="5490"/>
          <w:tab w:val="left" w:pos="5850"/>
        </w:tabs>
        <w:spacing w:line="240" w:lineRule="auto"/>
        <w:jc w:val="both"/>
        <w:rPr>
          <w:b/>
          <w:sz w:val="28"/>
          <w:szCs w:val="28"/>
          <w:lang w:val="nl-NL"/>
        </w:rPr>
      </w:pPr>
      <w:r>
        <w:rPr>
          <w:b/>
          <w:sz w:val="28"/>
          <w:szCs w:val="28"/>
          <w:lang w:val="nl-NL"/>
        </w:rPr>
        <w:tab/>
        <w:t>TM. ỦY BAN NHÂN DÂN</w:t>
      </w:r>
    </w:p>
    <w:p w:rsidR="00EE79EF" w:rsidRDefault="00EE79EF" w:rsidP="00EE79EF">
      <w:pPr>
        <w:pStyle w:val="NormalWeb"/>
        <w:tabs>
          <w:tab w:val="left" w:pos="6480"/>
        </w:tabs>
        <w:spacing w:line="240" w:lineRule="auto"/>
        <w:jc w:val="both"/>
        <w:rPr>
          <w:b/>
          <w:sz w:val="28"/>
          <w:szCs w:val="28"/>
          <w:lang w:val="nl-NL"/>
        </w:rPr>
      </w:pPr>
      <w:r>
        <w:rPr>
          <w:b/>
          <w:sz w:val="28"/>
          <w:szCs w:val="28"/>
          <w:lang w:val="nl-NL"/>
        </w:rPr>
        <w:tab/>
        <w:t>CHỦ TỊCH</w:t>
      </w:r>
    </w:p>
    <w:p w:rsidR="00EE79EF" w:rsidRDefault="00EE79EF" w:rsidP="00EE79EF">
      <w:pPr>
        <w:pStyle w:val="NormalWeb"/>
        <w:tabs>
          <w:tab w:val="left" w:pos="6750"/>
        </w:tabs>
        <w:spacing w:line="240" w:lineRule="auto"/>
        <w:jc w:val="both"/>
        <w:rPr>
          <w:sz w:val="28"/>
          <w:szCs w:val="28"/>
          <w:lang w:val="nl-NL"/>
        </w:rPr>
      </w:pPr>
      <w:r>
        <w:rPr>
          <w:b/>
          <w:sz w:val="28"/>
          <w:szCs w:val="28"/>
          <w:lang w:val="nl-NL"/>
        </w:rPr>
        <w:tab/>
      </w:r>
      <w:r>
        <w:rPr>
          <w:sz w:val="28"/>
          <w:szCs w:val="28"/>
          <w:lang w:val="nl-NL"/>
        </w:rPr>
        <w:t>(đã ký)</w:t>
      </w:r>
    </w:p>
    <w:p w:rsidR="00EE79EF" w:rsidRDefault="00EE79EF" w:rsidP="00EE79EF">
      <w:pPr>
        <w:pStyle w:val="NormalWeb"/>
        <w:tabs>
          <w:tab w:val="left" w:pos="6750"/>
        </w:tabs>
        <w:spacing w:line="240" w:lineRule="auto"/>
        <w:jc w:val="both"/>
        <w:rPr>
          <w:sz w:val="28"/>
          <w:szCs w:val="28"/>
          <w:lang w:val="nl-NL"/>
        </w:rPr>
      </w:pPr>
    </w:p>
    <w:p w:rsidR="00EE79EF" w:rsidRDefault="00EE79EF" w:rsidP="00EE79EF">
      <w:pPr>
        <w:pStyle w:val="NormalWeb"/>
        <w:tabs>
          <w:tab w:val="left" w:pos="6750"/>
        </w:tabs>
        <w:spacing w:line="240" w:lineRule="auto"/>
        <w:jc w:val="both"/>
        <w:rPr>
          <w:sz w:val="28"/>
          <w:szCs w:val="28"/>
          <w:lang w:val="nl-NL"/>
        </w:rPr>
      </w:pPr>
    </w:p>
    <w:p w:rsidR="00EE79EF" w:rsidRPr="00EE79EF" w:rsidRDefault="00EE79EF" w:rsidP="00644BD7">
      <w:pPr>
        <w:pStyle w:val="NormalWeb"/>
        <w:tabs>
          <w:tab w:val="left" w:pos="6300"/>
        </w:tabs>
        <w:spacing w:line="480" w:lineRule="auto"/>
        <w:jc w:val="both"/>
        <w:rPr>
          <w:b/>
          <w:sz w:val="28"/>
          <w:szCs w:val="28"/>
          <w:lang w:val="nl-NL"/>
        </w:rPr>
      </w:pPr>
      <w:r>
        <w:rPr>
          <w:sz w:val="28"/>
          <w:szCs w:val="28"/>
          <w:lang w:val="nl-NL"/>
        </w:rPr>
        <w:tab/>
      </w:r>
      <w:r>
        <w:rPr>
          <w:b/>
          <w:sz w:val="28"/>
          <w:szCs w:val="28"/>
          <w:lang w:val="nl-NL"/>
        </w:rPr>
        <w:t>Trần Văn Cần</w:t>
      </w:r>
    </w:p>
    <w:p w:rsidR="00AF5828" w:rsidRPr="00454F3E" w:rsidRDefault="00AF5828" w:rsidP="0087310F">
      <w:pPr>
        <w:spacing w:before="120" w:after="120"/>
        <w:rPr>
          <w:b/>
          <w:sz w:val="28"/>
          <w:szCs w:val="28"/>
        </w:rPr>
      </w:pPr>
    </w:p>
    <w:sectPr w:rsidR="00AF5828" w:rsidRPr="00454F3E" w:rsidSect="009342B8">
      <w:headerReference w:type="even" r:id="rId13"/>
      <w:footerReference w:type="even" r:id="rId14"/>
      <w:footerReference w:type="default" r:id="rId15"/>
      <w:footerReference w:type="first" r:id="rId16"/>
      <w:pgSz w:w="11907" w:h="16839" w:code="9"/>
      <w:pgMar w:top="851" w:right="1134" w:bottom="1440" w:left="1701" w:header="720" w:footer="2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08" w:rsidRDefault="00275308" w:rsidP="008632E6">
      <w:r>
        <w:separator/>
      </w:r>
    </w:p>
  </w:endnote>
  <w:endnote w:type="continuationSeparator" w:id="0">
    <w:p w:rsidR="00275308" w:rsidRDefault="00275308" w:rsidP="0086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CC" w:rsidRPr="008632E6" w:rsidRDefault="00547CCC" w:rsidP="006023CE">
    <w:pPr>
      <w:pStyle w:val="Footer"/>
      <w:jc w:val="right"/>
      <w:rPr>
        <w:sz w:val="28"/>
        <w:szCs w:val="28"/>
      </w:rPr>
    </w:pPr>
    <w:r w:rsidRPr="008632E6">
      <w:rPr>
        <w:sz w:val="28"/>
        <w:szCs w:val="28"/>
      </w:rPr>
      <w:fldChar w:fldCharType="begin"/>
    </w:r>
    <w:r w:rsidRPr="008632E6">
      <w:rPr>
        <w:sz w:val="28"/>
        <w:szCs w:val="28"/>
      </w:rPr>
      <w:instrText xml:space="preserve"> PAGE   \* MERGEFORMAT </w:instrText>
    </w:r>
    <w:r w:rsidRPr="008632E6">
      <w:rPr>
        <w:sz w:val="28"/>
        <w:szCs w:val="28"/>
      </w:rPr>
      <w:fldChar w:fldCharType="separate"/>
    </w:r>
    <w:r w:rsidR="00644BD7">
      <w:rPr>
        <w:noProof/>
        <w:sz w:val="28"/>
        <w:szCs w:val="28"/>
      </w:rPr>
      <w:t>2</w:t>
    </w:r>
    <w:r w:rsidRPr="008632E6">
      <w:rPr>
        <w:sz w:val="28"/>
        <w:szCs w:val="28"/>
      </w:rPr>
      <w:fldChar w:fldCharType="end"/>
    </w:r>
  </w:p>
  <w:p w:rsidR="00547CCC" w:rsidRDefault="00547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76" w:rsidRDefault="00275308" w:rsidP="00953F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D82676" w:rsidRDefault="0027530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FD" w:rsidRPr="00A41492" w:rsidRDefault="00275308" w:rsidP="002D5B05">
    <w:pPr>
      <w:pStyle w:val="Footer"/>
      <w:jc w:val="right"/>
      <w:rPr>
        <w:b/>
      </w:rPr>
    </w:pPr>
    <w:r w:rsidRPr="00A41492">
      <w:rPr>
        <w:b/>
      </w:rPr>
      <w:fldChar w:fldCharType="begin"/>
    </w:r>
    <w:r w:rsidRPr="00A41492">
      <w:rPr>
        <w:b/>
      </w:rPr>
      <w:instrText xml:space="preserve"> PAGE   \* MERGEFORMAT </w:instrText>
    </w:r>
    <w:r w:rsidRPr="00A41492">
      <w:rPr>
        <w:b/>
      </w:rPr>
      <w:fldChar w:fldCharType="separate"/>
    </w:r>
    <w:r w:rsidR="00644BD7">
      <w:rPr>
        <w:b/>
        <w:noProof/>
      </w:rPr>
      <w:t>12</w:t>
    </w:r>
    <w:r w:rsidRPr="00A41492">
      <w:rPr>
        <w:b/>
        <w:noProof/>
      </w:rPr>
      <w:fldChar w:fldCharType="end"/>
    </w:r>
  </w:p>
  <w:p w:rsidR="00D82676" w:rsidRPr="00B13AA9" w:rsidRDefault="00275308">
    <w:pPr>
      <w:pStyle w:val="Footer"/>
      <w:ind w:right="360"/>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76" w:rsidRDefault="0027530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08" w:rsidRDefault="00275308" w:rsidP="008632E6">
      <w:r>
        <w:separator/>
      </w:r>
    </w:p>
  </w:footnote>
  <w:footnote w:type="continuationSeparator" w:id="0">
    <w:p w:rsidR="00275308" w:rsidRDefault="00275308" w:rsidP="00863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76" w:rsidRDefault="00275308" w:rsidP="00D826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676" w:rsidRDefault="00275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F0"/>
    <w:rsid w:val="000004F1"/>
    <w:rsid w:val="000050F0"/>
    <w:rsid w:val="00012BE7"/>
    <w:rsid w:val="00014D35"/>
    <w:rsid w:val="000153A8"/>
    <w:rsid w:val="0002690C"/>
    <w:rsid w:val="00037C92"/>
    <w:rsid w:val="00050BED"/>
    <w:rsid w:val="00051DC4"/>
    <w:rsid w:val="000560B5"/>
    <w:rsid w:val="00061887"/>
    <w:rsid w:val="00062899"/>
    <w:rsid w:val="000653A4"/>
    <w:rsid w:val="00070DA1"/>
    <w:rsid w:val="00074015"/>
    <w:rsid w:val="000816D9"/>
    <w:rsid w:val="000821CC"/>
    <w:rsid w:val="000829B8"/>
    <w:rsid w:val="0008363A"/>
    <w:rsid w:val="00083AD1"/>
    <w:rsid w:val="000902AF"/>
    <w:rsid w:val="000926B8"/>
    <w:rsid w:val="0009711C"/>
    <w:rsid w:val="000B7093"/>
    <w:rsid w:val="000C2B02"/>
    <w:rsid w:val="000D16B7"/>
    <w:rsid w:val="000E59F3"/>
    <w:rsid w:val="000F185E"/>
    <w:rsid w:val="00103494"/>
    <w:rsid w:val="0010538F"/>
    <w:rsid w:val="001058A3"/>
    <w:rsid w:val="00105BFA"/>
    <w:rsid w:val="00110004"/>
    <w:rsid w:val="001109F2"/>
    <w:rsid w:val="00111987"/>
    <w:rsid w:val="001128B1"/>
    <w:rsid w:val="00114F4C"/>
    <w:rsid w:val="00120A70"/>
    <w:rsid w:val="00134332"/>
    <w:rsid w:val="00140F9E"/>
    <w:rsid w:val="00141E6A"/>
    <w:rsid w:val="001459F9"/>
    <w:rsid w:val="00147AA0"/>
    <w:rsid w:val="001504CA"/>
    <w:rsid w:val="0015128C"/>
    <w:rsid w:val="001523F6"/>
    <w:rsid w:val="0015601C"/>
    <w:rsid w:val="00167006"/>
    <w:rsid w:val="00170194"/>
    <w:rsid w:val="001817D3"/>
    <w:rsid w:val="001842F9"/>
    <w:rsid w:val="00191E70"/>
    <w:rsid w:val="00194D99"/>
    <w:rsid w:val="00196D70"/>
    <w:rsid w:val="001A0D55"/>
    <w:rsid w:val="001A18C1"/>
    <w:rsid w:val="001A51C4"/>
    <w:rsid w:val="001A7ADC"/>
    <w:rsid w:val="001C008F"/>
    <w:rsid w:val="001C051E"/>
    <w:rsid w:val="001C5615"/>
    <w:rsid w:val="001C5F85"/>
    <w:rsid w:val="001D1497"/>
    <w:rsid w:val="001E18E2"/>
    <w:rsid w:val="002006E8"/>
    <w:rsid w:val="002137CB"/>
    <w:rsid w:val="00221EFB"/>
    <w:rsid w:val="0022765C"/>
    <w:rsid w:val="00243FC2"/>
    <w:rsid w:val="0026264A"/>
    <w:rsid w:val="002741D0"/>
    <w:rsid w:val="00275308"/>
    <w:rsid w:val="00275A23"/>
    <w:rsid w:val="00292B42"/>
    <w:rsid w:val="00296C24"/>
    <w:rsid w:val="002A446B"/>
    <w:rsid w:val="002A6E40"/>
    <w:rsid w:val="002B04AD"/>
    <w:rsid w:val="002B5E42"/>
    <w:rsid w:val="002C3246"/>
    <w:rsid w:val="002C57D1"/>
    <w:rsid w:val="002E0F0E"/>
    <w:rsid w:val="002F1F5F"/>
    <w:rsid w:val="002F340F"/>
    <w:rsid w:val="00321FC1"/>
    <w:rsid w:val="00326519"/>
    <w:rsid w:val="00327C17"/>
    <w:rsid w:val="003347A7"/>
    <w:rsid w:val="00337A5C"/>
    <w:rsid w:val="0034598D"/>
    <w:rsid w:val="00345E5E"/>
    <w:rsid w:val="003476E5"/>
    <w:rsid w:val="00361BC5"/>
    <w:rsid w:val="0037039B"/>
    <w:rsid w:val="00373CDE"/>
    <w:rsid w:val="00377A42"/>
    <w:rsid w:val="0038500C"/>
    <w:rsid w:val="003A0FAE"/>
    <w:rsid w:val="003B11FC"/>
    <w:rsid w:val="003B3EBE"/>
    <w:rsid w:val="003B6935"/>
    <w:rsid w:val="003B75D5"/>
    <w:rsid w:val="003D24EB"/>
    <w:rsid w:val="003D4557"/>
    <w:rsid w:val="003F2B9F"/>
    <w:rsid w:val="003F2CD0"/>
    <w:rsid w:val="0040194B"/>
    <w:rsid w:val="00403D8F"/>
    <w:rsid w:val="00413FB6"/>
    <w:rsid w:val="00415BA4"/>
    <w:rsid w:val="004167A4"/>
    <w:rsid w:val="00420700"/>
    <w:rsid w:val="00420E37"/>
    <w:rsid w:val="004214F1"/>
    <w:rsid w:val="00441866"/>
    <w:rsid w:val="00441A1B"/>
    <w:rsid w:val="004424D6"/>
    <w:rsid w:val="00443373"/>
    <w:rsid w:val="004465B4"/>
    <w:rsid w:val="004530A2"/>
    <w:rsid w:val="00454F3E"/>
    <w:rsid w:val="00460116"/>
    <w:rsid w:val="00462A7E"/>
    <w:rsid w:val="00471A31"/>
    <w:rsid w:val="00480BC0"/>
    <w:rsid w:val="0048360B"/>
    <w:rsid w:val="00486460"/>
    <w:rsid w:val="0049174E"/>
    <w:rsid w:val="00492CE8"/>
    <w:rsid w:val="004A20C8"/>
    <w:rsid w:val="004A6EAA"/>
    <w:rsid w:val="004B3D5E"/>
    <w:rsid w:val="004B5E8F"/>
    <w:rsid w:val="004C72C8"/>
    <w:rsid w:val="004C7F75"/>
    <w:rsid w:val="004E0F66"/>
    <w:rsid w:val="004E140C"/>
    <w:rsid w:val="004E5661"/>
    <w:rsid w:val="004F02DF"/>
    <w:rsid w:val="004F1BEA"/>
    <w:rsid w:val="004F689B"/>
    <w:rsid w:val="004F7DB6"/>
    <w:rsid w:val="00501951"/>
    <w:rsid w:val="00507F5F"/>
    <w:rsid w:val="00526C06"/>
    <w:rsid w:val="00547CCC"/>
    <w:rsid w:val="00553738"/>
    <w:rsid w:val="00565FC6"/>
    <w:rsid w:val="005974EC"/>
    <w:rsid w:val="005A0B9F"/>
    <w:rsid w:val="005B1333"/>
    <w:rsid w:val="005B2218"/>
    <w:rsid w:val="005C4225"/>
    <w:rsid w:val="005C42B1"/>
    <w:rsid w:val="005C6924"/>
    <w:rsid w:val="005D14E8"/>
    <w:rsid w:val="005D692A"/>
    <w:rsid w:val="005E4B59"/>
    <w:rsid w:val="005E6AF1"/>
    <w:rsid w:val="005F1BEC"/>
    <w:rsid w:val="006023CE"/>
    <w:rsid w:val="00606EFA"/>
    <w:rsid w:val="0061459E"/>
    <w:rsid w:val="0061501B"/>
    <w:rsid w:val="006306CC"/>
    <w:rsid w:val="00633543"/>
    <w:rsid w:val="00637C9E"/>
    <w:rsid w:val="00640FCD"/>
    <w:rsid w:val="00644BD7"/>
    <w:rsid w:val="006508EF"/>
    <w:rsid w:val="0065337B"/>
    <w:rsid w:val="00674D68"/>
    <w:rsid w:val="006823C0"/>
    <w:rsid w:val="00682D4E"/>
    <w:rsid w:val="006A008D"/>
    <w:rsid w:val="006A7868"/>
    <w:rsid w:val="006A798C"/>
    <w:rsid w:val="006B2BCC"/>
    <w:rsid w:val="006C277A"/>
    <w:rsid w:val="006C28BD"/>
    <w:rsid w:val="006C4F92"/>
    <w:rsid w:val="006D4500"/>
    <w:rsid w:val="006D586F"/>
    <w:rsid w:val="006D58DA"/>
    <w:rsid w:val="006D5D8D"/>
    <w:rsid w:val="006D71A4"/>
    <w:rsid w:val="006E24C1"/>
    <w:rsid w:val="006E6281"/>
    <w:rsid w:val="006F32DD"/>
    <w:rsid w:val="006F3B01"/>
    <w:rsid w:val="00713314"/>
    <w:rsid w:val="00725AB5"/>
    <w:rsid w:val="0073080A"/>
    <w:rsid w:val="00737986"/>
    <w:rsid w:val="0074403B"/>
    <w:rsid w:val="0074765A"/>
    <w:rsid w:val="00753590"/>
    <w:rsid w:val="0076012D"/>
    <w:rsid w:val="0076051E"/>
    <w:rsid w:val="0076517D"/>
    <w:rsid w:val="00791913"/>
    <w:rsid w:val="00791E64"/>
    <w:rsid w:val="007A59FF"/>
    <w:rsid w:val="007A729D"/>
    <w:rsid w:val="007B58EE"/>
    <w:rsid w:val="007C75D5"/>
    <w:rsid w:val="007D79D7"/>
    <w:rsid w:val="007E078D"/>
    <w:rsid w:val="007E3791"/>
    <w:rsid w:val="007E3EDE"/>
    <w:rsid w:val="00813651"/>
    <w:rsid w:val="00813CBD"/>
    <w:rsid w:val="0081719C"/>
    <w:rsid w:val="00827C36"/>
    <w:rsid w:val="00832BF5"/>
    <w:rsid w:val="00832E90"/>
    <w:rsid w:val="00844E53"/>
    <w:rsid w:val="00852896"/>
    <w:rsid w:val="0085599D"/>
    <w:rsid w:val="00857BBC"/>
    <w:rsid w:val="008632E6"/>
    <w:rsid w:val="0087310F"/>
    <w:rsid w:val="00893D7D"/>
    <w:rsid w:val="008A21F1"/>
    <w:rsid w:val="008A3378"/>
    <w:rsid w:val="008A386D"/>
    <w:rsid w:val="008B0655"/>
    <w:rsid w:val="008C13C7"/>
    <w:rsid w:val="008D586D"/>
    <w:rsid w:val="008E488C"/>
    <w:rsid w:val="008E5BD6"/>
    <w:rsid w:val="008F6F44"/>
    <w:rsid w:val="008F7D24"/>
    <w:rsid w:val="00911574"/>
    <w:rsid w:val="00911AA1"/>
    <w:rsid w:val="00921D77"/>
    <w:rsid w:val="00940B3D"/>
    <w:rsid w:val="009443A3"/>
    <w:rsid w:val="00952356"/>
    <w:rsid w:val="009531EA"/>
    <w:rsid w:val="00964A4B"/>
    <w:rsid w:val="0096539F"/>
    <w:rsid w:val="00982430"/>
    <w:rsid w:val="00984ABC"/>
    <w:rsid w:val="00991858"/>
    <w:rsid w:val="00992233"/>
    <w:rsid w:val="00992CB2"/>
    <w:rsid w:val="009950DA"/>
    <w:rsid w:val="009A7D8D"/>
    <w:rsid w:val="009B1299"/>
    <w:rsid w:val="009B1817"/>
    <w:rsid w:val="009B2198"/>
    <w:rsid w:val="009C14C3"/>
    <w:rsid w:val="009C6217"/>
    <w:rsid w:val="009C7046"/>
    <w:rsid w:val="009C731F"/>
    <w:rsid w:val="009C7356"/>
    <w:rsid w:val="009D3B27"/>
    <w:rsid w:val="009D78AF"/>
    <w:rsid w:val="009F0343"/>
    <w:rsid w:val="009F6A0C"/>
    <w:rsid w:val="00A00B23"/>
    <w:rsid w:val="00A01ECB"/>
    <w:rsid w:val="00A02CF0"/>
    <w:rsid w:val="00A04215"/>
    <w:rsid w:val="00A05307"/>
    <w:rsid w:val="00A055CF"/>
    <w:rsid w:val="00A22FDB"/>
    <w:rsid w:val="00A2490F"/>
    <w:rsid w:val="00A3311C"/>
    <w:rsid w:val="00A46508"/>
    <w:rsid w:val="00A46D31"/>
    <w:rsid w:val="00A503DB"/>
    <w:rsid w:val="00A5294C"/>
    <w:rsid w:val="00A62F3F"/>
    <w:rsid w:val="00A84AA0"/>
    <w:rsid w:val="00A86921"/>
    <w:rsid w:val="00A905A5"/>
    <w:rsid w:val="00A92BAF"/>
    <w:rsid w:val="00A93BD4"/>
    <w:rsid w:val="00A9610B"/>
    <w:rsid w:val="00AB0159"/>
    <w:rsid w:val="00AB4C2A"/>
    <w:rsid w:val="00AB5267"/>
    <w:rsid w:val="00AB6701"/>
    <w:rsid w:val="00AC5156"/>
    <w:rsid w:val="00AC5DF5"/>
    <w:rsid w:val="00AC77C2"/>
    <w:rsid w:val="00AD1978"/>
    <w:rsid w:val="00AD1B6D"/>
    <w:rsid w:val="00AD33A3"/>
    <w:rsid w:val="00AE1795"/>
    <w:rsid w:val="00AE713C"/>
    <w:rsid w:val="00AF43C3"/>
    <w:rsid w:val="00AF5828"/>
    <w:rsid w:val="00AF6B6F"/>
    <w:rsid w:val="00B023C8"/>
    <w:rsid w:val="00B03E9C"/>
    <w:rsid w:val="00B06CC6"/>
    <w:rsid w:val="00B129F2"/>
    <w:rsid w:val="00B22172"/>
    <w:rsid w:val="00B23083"/>
    <w:rsid w:val="00B325A1"/>
    <w:rsid w:val="00B32D0B"/>
    <w:rsid w:val="00B374FB"/>
    <w:rsid w:val="00B40E46"/>
    <w:rsid w:val="00B41296"/>
    <w:rsid w:val="00B425C4"/>
    <w:rsid w:val="00B50441"/>
    <w:rsid w:val="00B55726"/>
    <w:rsid w:val="00B61738"/>
    <w:rsid w:val="00B732EE"/>
    <w:rsid w:val="00B76321"/>
    <w:rsid w:val="00B8421C"/>
    <w:rsid w:val="00B91A50"/>
    <w:rsid w:val="00B91CF9"/>
    <w:rsid w:val="00B93545"/>
    <w:rsid w:val="00BA1E34"/>
    <w:rsid w:val="00BA5D3C"/>
    <w:rsid w:val="00BC0CF2"/>
    <w:rsid w:val="00BD6E01"/>
    <w:rsid w:val="00BD7C92"/>
    <w:rsid w:val="00BE10CF"/>
    <w:rsid w:val="00BE2DBB"/>
    <w:rsid w:val="00BE46F4"/>
    <w:rsid w:val="00BE4F25"/>
    <w:rsid w:val="00BF3DC7"/>
    <w:rsid w:val="00C00A07"/>
    <w:rsid w:val="00C05877"/>
    <w:rsid w:val="00C10B5E"/>
    <w:rsid w:val="00C110D0"/>
    <w:rsid w:val="00C122BF"/>
    <w:rsid w:val="00C1602D"/>
    <w:rsid w:val="00C214A6"/>
    <w:rsid w:val="00C241EE"/>
    <w:rsid w:val="00C27E23"/>
    <w:rsid w:val="00C30366"/>
    <w:rsid w:val="00C31F7D"/>
    <w:rsid w:val="00C51639"/>
    <w:rsid w:val="00C523B7"/>
    <w:rsid w:val="00C56209"/>
    <w:rsid w:val="00C67622"/>
    <w:rsid w:val="00C81354"/>
    <w:rsid w:val="00C85CC6"/>
    <w:rsid w:val="00C9585C"/>
    <w:rsid w:val="00C960A8"/>
    <w:rsid w:val="00CB2276"/>
    <w:rsid w:val="00CB36A8"/>
    <w:rsid w:val="00CC47DC"/>
    <w:rsid w:val="00CC60CB"/>
    <w:rsid w:val="00CD28AA"/>
    <w:rsid w:val="00CE12E9"/>
    <w:rsid w:val="00CF008A"/>
    <w:rsid w:val="00CF3D30"/>
    <w:rsid w:val="00CF420C"/>
    <w:rsid w:val="00CF44B2"/>
    <w:rsid w:val="00CF5668"/>
    <w:rsid w:val="00CF6FBC"/>
    <w:rsid w:val="00D05D8F"/>
    <w:rsid w:val="00D10652"/>
    <w:rsid w:val="00D13FA9"/>
    <w:rsid w:val="00D332D0"/>
    <w:rsid w:val="00D4050B"/>
    <w:rsid w:val="00D55B32"/>
    <w:rsid w:val="00D562DD"/>
    <w:rsid w:val="00D578EF"/>
    <w:rsid w:val="00D60D22"/>
    <w:rsid w:val="00D636CF"/>
    <w:rsid w:val="00D648FD"/>
    <w:rsid w:val="00D7302F"/>
    <w:rsid w:val="00D7378D"/>
    <w:rsid w:val="00D90D55"/>
    <w:rsid w:val="00D956DD"/>
    <w:rsid w:val="00DB3FE3"/>
    <w:rsid w:val="00DB5F9D"/>
    <w:rsid w:val="00DB634C"/>
    <w:rsid w:val="00DB6B66"/>
    <w:rsid w:val="00DC6A17"/>
    <w:rsid w:val="00DD16CE"/>
    <w:rsid w:val="00DD2C41"/>
    <w:rsid w:val="00DD6778"/>
    <w:rsid w:val="00DE122E"/>
    <w:rsid w:val="00DE38F2"/>
    <w:rsid w:val="00E06108"/>
    <w:rsid w:val="00E13A70"/>
    <w:rsid w:val="00E14C52"/>
    <w:rsid w:val="00E17D34"/>
    <w:rsid w:val="00E277FF"/>
    <w:rsid w:val="00E27F6D"/>
    <w:rsid w:val="00E36503"/>
    <w:rsid w:val="00E456F7"/>
    <w:rsid w:val="00E50183"/>
    <w:rsid w:val="00E50B21"/>
    <w:rsid w:val="00E606A4"/>
    <w:rsid w:val="00E8108E"/>
    <w:rsid w:val="00E82496"/>
    <w:rsid w:val="00E87AF9"/>
    <w:rsid w:val="00E904C8"/>
    <w:rsid w:val="00EA531D"/>
    <w:rsid w:val="00EC22EE"/>
    <w:rsid w:val="00EC77D9"/>
    <w:rsid w:val="00ED7803"/>
    <w:rsid w:val="00EE1117"/>
    <w:rsid w:val="00EE116D"/>
    <w:rsid w:val="00EE2256"/>
    <w:rsid w:val="00EE79EF"/>
    <w:rsid w:val="00EF4233"/>
    <w:rsid w:val="00F1485B"/>
    <w:rsid w:val="00F15820"/>
    <w:rsid w:val="00F173FC"/>
    <w:rsid w:val="00F2085E"/>
    <w:rsid w:val="00F34F24"/>
    <w:rsid w:val="00F36003"/>
    <w:rsid w:val="00F37405"/>
    <w:rsid w:val="00F37EC5"/>
    <w:rsid w:val="00F47B5D"/>
    <w:rsid w:val="00F548BD"/>
    <w:rsid w:val="00F54D84"/>
    <w:rsid w:val="00F55AC8"/>
    <w:rsid w:val="00F60606"/>
    <w:rsid w:val="00F76659"/>
    <w:rsid w:val="00F82A6A"/>
    <w:rsid w:val="00F840FC"/>
    <w:rsid w:val="00F854C6"/>
    <w:rsid w:val="00F86898"/>
    <w:rsid w:val="00F8793F"/>
    <w:rsid w:val="00F95AF9"/>
    <w:rsid w:val="00F95FA2"/>
    <w:rsid w:val="00FA4A6C"/>
    <w:rsid w:val="00FC457F"/>
    <w:rsid w:val="00FC5E25"/>
    <w:rsid w:val="00FD2E96"/>
    <w:rsid w:val="00FD4BCB"/>
    <w:rsid w:val="00FD5939"/>
    <w:rsid w:val="00FD5B83"/>
    <w:rsid w:val="00FE48ED"/>
    <w:rsid w:val="00FE6B87"/>
    <w:rsid w:val="00FF5270"/>
    <w:rsid w:val="00FF5B51"/>
    <w:rsid w:val="00FF6387"/>
    <w:rsid w:val="00FF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857BBC"/>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basedOn w:val="Normal"/>
    <w:pPr>
      <w:spacing w:before="100" w:beforeAutospacing="1" w:after="100" w:afterAutospacing="1"/>
    </w:pPr>
  </w:style>
  <w:style w:type="character" w:styleId="Strong">
    <w:name w:val="Strong"/>
    <w:uiPriority w:val="22"/>
    <w:qFormat/>
    <w:rPr>
      <w:b/>
      <w:bCs/>
    </w:rPr>
  </w:style>
  <w:style w:type="paragraph" w:styleId="BodyTextIndent2">
    <w:name w:val="Body Text Indent 2"/>
    <w:basedOn w:val="Normal"/>
    <w:pPr>
      <w:spacing w:before="100" w:beforeAutospacing="1" w:after="100" w:afterAutospacing="1"/>
    </w:pPr>
  </w:style>
  <w:style w:type="character" w:styleId="Emphasis">
    <w:name w:val="Emphasis"/>
    <w:qFormat/>
    <w:rPr>
      <w:i/>
      <w:iCs/>
    </w:rPr>
  </w:style>
  <w:style w:type="paragraph" w:styleId="BodyTextIndent3">
    <w:name w:val="Body Text Indent 3"/>
    <w:basedOn w:val="Normal"/>
    <w:pPr>
      <w:spacing w:before="100" w:beforeAutospacing="1" w:after="100" w:afterAutospacing="1"/>
    </w:pPr>
  </w:style>
  <w:style w:type="paragraph" w:styleId="BodyText">
    <w:name w:val="Body Text"/>
    <w:basedOn w:val="Normal"/>
    <w:pPr>
      <w:spacing w:before="100" w:beforeAutospacing="1" w:after="100" w:afterAutospacing="1"/>
    </w:pPr>
  </w:style>
  <w:style w:type="paragraph" w:styleId="BodyTextIndent">
    <w:name w:val="Body Text Indent"/>
    <w:basedOn w:val="Normal"/>
    <w:pPr>
      <w:spacing w:before="100" w:beforeAutospacing="1" w:after="100" w:afterAutospacing="1"/>
    </w:pPr>
  </w:style>
  <w:style w:type="table" w:styleId="TableGrid">
    <w:name w:val="Table Grid"/>
    <w:basedOn w:val="TableNormal"/>
    <w:rsid w:val="0008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semiHidden/>
    <w:rsid w:val="00083AD1"/>
    <w:pPr>
      <w:spacing w:after="160" w:line="240" w:lineRule="exact"/>
    </w:pPr>
    <w:rPr>
      <w:rFonts w:ascii="Arial" w:hAnsi="Arial"/>
      <w:sz w:val="22"/>
      <w:szCs w:val="22"/>
    </w:rPr>
  </w:style>
  <w:style w:type="paragraph" w:styleId="NormalWeb">
    <w:name w:val="Normal (Web)"/>
    <w:basedOn w:val="Normal"/>
    <w:uiPriority w:val="99"/>
    <w:unhideWhenUsed/>
    <w:rsid w:val="00501951"/>
    <w:pPr>
      <w:spacing w:line="312" w:lineRule="auto"/>
    </w:pPr>
  </w:style>
  <w:style w:type="paragraph" w:styleId="BalloonText">
    <w:name w:val="Balloon Text"/>
    <w:basedOn w:val="Normal"/>
    <w:semiHidden/>
    <w:rsid w:val="0065337B"/>
    <w:rPr>
      <w:rFonts w:ascii="Tahoma" w:hAnsi="Tahoma" w:cs="Tahoma"/>
      <w:sz w:val="16"/>
      <w:szCs w:val="16"/>
    </w:rPr>
  </w:style>
  <w:style w:type="paragraph" w:styleId="Title">
    <w:name w:val="Title"/>
    <w:basedOn w:val="Normal"/>
    <w:link w:val="TitleChar"/>
    <w:qFormat/>
    <w:rsid w:val="00E277FF"/>
    <w:pPr>
      <w:spacing w:after="360"/>
      <w:jc w:val="center"/>
    </w:pPr>
    <w:rPr>
      <w:rFonts w:ascii=".VnTimeH" w:hAnsi=".VnTimeH"/>
      <w:b/>
      <w:sz w:val="40"/>
      <w:szCs w:val="20"/>
    </w:rPr>
  </w:style>
  <w:style w:type="character" w:customStyle="1" w:styleId="TitleChar">
    <w:name w:val="Title Char"/>
    <w:link w:val="Title"/>
    <w:rsid w:val="00E277FF"/>
    <w:rPr>
      <w:rFonts w:ascii=".VnTimeH" w:hAnsi=".VnTimeH"/>
      <w:b/>
      <w:sz w:val="40"/>
      <w:lang w:val="en-US" w:eastAsia="en-US" w:bidi="ar-SA"/>
    </w:rPr>
  </w:style>
  <w:style w:type="paragraph" w:styleId="Header">
    <w:name w:val="header"/>
    <w:basedOn w:val="Normal"/>
    <w:link w:val="HeaderChar"/>
    <w:rsid w:val="008632E6"/>
    <w:pPr>
      <w:tabs>
        <w:tab w:val="center" w:pos="4680"/>
        <w:tab w:val="right" w:pos="9360"/>
      </w:tabs>
    </w:pPr>
  </w:style>
  <w:style w:type="character" w:customStyle="1" w:styleId="HeaderChar">
    <w:name w:val="Header Char"/>
    <w:link w:val="Header"/>
    <w:rsid w:val="008632E6"/>
    <w:rPr>
      <w:sz w:val="24"/>
      <w:szCs w:val="24"/>
    </w:rPr>
  </w:style>
  <w:style w:type="paragraph" w:styleId="Footer">
    <w:name w:val="footer"/>
    <w:basedOn w:val="Normal"/>
    <w:link w:val="FooterChar"/>
    <w:uiPriority w:val="99"/>
    <w:rsid w:val="008632E6"/>
    <w:pPr>
      <w:tabs>
        <w:tab w:val="center" w:pos="4680"/>
        <w:tab w:val="right" w:pos="9360"/>
      </w:tabs>
    </w:pPr>
  </w:style>
  <w:style w:type="character" w:customStyle="1" w:styleId="FooterChar">
    <w:name w:val="Footer Char"/>
    <w:link w:val="Footer"/>
    <w:uiPriority w:val="99"/>
    <w:rsid w:val="008632E6"/>
    <w:rPr>
      <w:sz w:val="24"/>
      <w:szCs w:val="24"/>
    </w:rPr>
  </w:style>
  <w:style w:type="character" w:customStyle="1" w:styleId="apple-converted-space">
    <w:name w:val="apple-converted-space"/>
    <w:basedOn w:val="DefaultParagraphFont"/>
    <w:rsid w:val="004167A4"/>
  </w:style>
  <w:style w:type="character" w:customStyle="1" w:styleId="Heading1Char">
    <w:name w:val="Heading 1 Char"/>
    <w:link w:val="Heading1"/>
    <w:rsid w:val="006023CE"/>
    <w:rPr>
      <w:b/>
      <w:bCs/>
      <w:kern w:val="36"/>
      <w:sz w:val="48"/>
      <w:szCs w:val="48"/>
      <w:lang w:eastAsia="en-US"/>
    </w:rPr>
  </w:style>
  <w:style w:type="character" w:styleId="PageNumber">
    <w:name w:val="page number"/>
    <w:basedOn w:val="DefaultParagraphFont"/>
    <w:rsid w:val="00EE79EF"/>
  </w:style>
  <w:style w:type="character" w:styleId="Hyperlink">
    <w:name w:val="Hyperlink"/>
    <w:uiPriority w:val="99"/>
    <w:rsid w:val="00EE79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857BBC"/>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basedOn w:val="Normal"/>
    <w:pPr>
      <w:spacing w:before="100" w:beforeAutospacing="1" w:after="100" w:afterAutospacing="1"/>
    </w:pPr>
  </w:style>
  <w:style w:type="character" w:styleId="Strong">
    <w:name w:val="Strong"/>
    <w:uiPriority w:val="22"/>
    <w:qFormat/>
    <w:rPr>
      <w:b/>
      <w:bCs/>
    </w:rPr>
  </w:style>
  <w:style w:type="paragraph" w:styleId="BodyTextIndent2">
    <w:name w:val="Body Text Indent 2"/>
    <w:basedOn w:val="Normal"/>
    <w:pPr>
      <w:spacing w:before="100" w:beforeAutospacing="1" w:after="100" w:afterAutospacing="1"/>
    </w:pPr>
  </w:style>
  <w:style w:type="character" w:styleId="Emphasis">
    <w:name w:val="Emphasis"/>
    <w:qFormat/>
    <w:rPr>
      <w:i/>
      <w:iCs/>
    </w:rPr>
  </w:style>
  <w:style w:type="paragraph" w:styleId="BodyTextIndent3">
    <w:name w:val="Body Text Indent 3"/>
    <w:basedOn w:val="Normal"/>
    <w:pPr>
      <w:spacing w:before="100" w:beforeAutospacing="1" w:after="100" w:afterAutospacing="1"/>
    </w:pPr>
  </w:style>
  <w:style w:type="paragraph" w:styleId="BodyText">
    <w:name w:val="Body Text"/>
    <w:basedOn w:val="Normal"/>
    <w:pPr>
      <w:spacing w:before="100" w:beforeAutospacing="1" w:after="100" w:afterAutospacing="1"/>
    </w:pPr>
  </w:style>
  <w:style w:type="paragraph" w:styleId="BodyTextIndent">
    <w:name w:val="Body Text Indent"/>
    <w:basedOn w:val="Normal"/>
    <w:pPr>
      <w:spacing w:before="100" w:beforeAutospacing="1" w:after="100" w:afterAutospacing="1"/>
    </w:pPr>
  </w:style>
  <w:style w:type="table" w:styleId="TableGrid">
    <w:name w:val="Table Grid"/>
    <w:basedOn w:val="TableNormal"/>
    <w:rsid w:val="0008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semiHidden/>
    <w:rsid w:val="00083AD1"/>
    <w:pPr>
      <w:spacing w:after="160" w:line="240" w:lineRule="exact"/>
    </w:pPr>
    <w:rPr>
      <w:rFonts w:ascii="Arial" w:hAnsi="Arial"/>
      <w:sz w:val="22"/>
      <w:szCs w:val="22"/>
    </w:rPr>
  </w:style>
  <w:style w:type="paragraph" w:styleId="NormalWeb">
    <w:name w:val="Normal (Web)"/>
    <w:basedOn w:val="Normal"/>
    <w:uiPriority w:val="99"/>
    <w:unhideWhenUsed/>
    <w:rsid w:val="00501951"/>
    <w:pPr>
      <w:spacing w:line="312" w:lineRule="auto"/>
    </w:pPr>
  </w:style>
  <w:style w:type="paragraph" w:styleId="BalloonText">
    <w:name w:val="Balloon Text"/>
    <w:basedOn w:val="Normal"/>
    <w:semiHidden/>
    <w:rsid w:val="0065337B"/>
    <w:rPr>
      <w:rFonts w:ascii="Tahoma" w:hAnsi="Tahoma" w:cs="Tahoma"/>
      <w:sz w:val="16"/>
      <w:szCs w:val="16"/>
    </w:rPr>
  </w:style>
  <w:style w:type="paragraph" w:styleId="Title">
    <w:name w:val="Title"/>
    <w:basedOn w:val="Normal"/>
    <w:link w:val="TitleChar"/>
    <w:qFormat/>
    <w:rsid w:val="00E277FF"/>
    <w:pPr>
      <w:spacing w:after="360"/>
      <w:jc w:val="center"/>
    </w:pPr>
    <w:rPr>
      <w:rFonts w:ascii=".VnTimeH" w:hAnsi=".VnTimeH"/>
      <w:b/>
      <w:sz w:val="40"/>
      <w:szCs w:val="20"/>
    </w:rPr>
  </w:style>
  <w:style w:type="character" w:customStyle="1" w:styleId="TitleChar">
    <w:name w:val="Title Char"/>
    <w:link w:val="Title"/>
    <w:rsid w:val="00E277FF"/>
    <w:rPr>
      <w:rFonts w:ascii=".VnTimeH" w:hAnsi=".VnTimeH"/>
      <w:b/>
      <w:sz w:val="40"/>
      <w:lang w:val="en-US" w:eastAsia="en-US" w:bidi="ar-SA"/>
    </w:rPr>
  </w:style>
  <w:style w:type="paragraph" w:styleId="Header">
    <w:name w:val="header"/>
    <w:basedOn w:val="Normal"/>
    <w:link w:val="HeaderChar"/>
    <w:rsid w:val="008632E6"/>
    <w:pPr>
      <w:tabs>
        <w:tab w:val="center" w:pos="4680"/>
        <w:tab w:val="right" w:pos="9360"/>
      </w:tabs>
    </w:pPr>
  </w:style>
  <w:style w:type="character" w:customStyle="1" w:styleId="HeaderChar">
    <w:name w:val="Header Char"/>
    <w:link w:val="Header"/>
    <w:rsid w:val="008632E6"/>
    <w:rPr>
      <w:sz w:val="24"/>
      <w:szCs w:val="24"/>
    </w:rPr>
  </w:style>
  <w:style w:type="paragraph" w:styleId="Footer">
    <w:name w:val="footer"/>
    <w:basedOn w:val="Normal"/>
    <w:link w:val="FooterChar"/>
    <w:uiPriority w:val="99"/>
    <w:rsid w:val="008632E6"/>
    <w:pPr>
      <w:tabs>
        <w:tab w:val="center" w:pos="4680"/>
        <w:tab w:val="right" w:pos="9360"/>
      </w:tabs>
    </w:pPr>
  </w:style>
  <w:style w:type="character" w:customStyle="1" w:styleId="FooterChar">
    <w:name w:val="Footer Char"/>
    <w:link w:val="Footer"/>
    <w:uiPriority w:val="99"/>
    <w:rsid w:val="008632E6"/>
    <w:rPr>
      <w:sz w:val="24"/>
      <w:szCs w:val="24"/>
    </w:rPr>
  </w:style>
  <w:style w:type="character" w:customStyle="1" w:styleId="apple-converted-space">
    <w:name w:val="apple-converted-space"/>
    <w:basedOn w:val="DefaultParagraphFont"/>
    <w:rsid w:val="004167A4"/>
  </w:style>
  <w:style w:type="character" w:customStyle="1" w:styleId="Heading1Char">
    <w:name w:val="Heading 1 Char"/>
    <w:link w:val="Heading1"/>
    <w:rsid w:val="006023CE"/>
    <w:rPr>
      <w:b/>
      <w:bCs/>
      <w:kern w:val="36"/>
      <w:sz w:val="48"/>
      <w:szCs w:val="48"/>
      <w:lang w:eastAsia="en-US"/>
    </w:rPr>
  </w:style>
  <w:style w:type="character" w:styleId="PageNumber">
    <w:name w:val="page number"/>
    <w:basedOn w:val="DefaultParagraphFont"/>
    <w:rsid w:val="00EE79EF"/>
  </w:style>
  <w:style w:type="character" w:styleId="Hyperlink">
    <w:name w:val="Hyperlink"/>
    <w:uiPriority w:val="99"/>
    <w:rsid w:val="00EE7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30662">
      <w:bodyDiv w:val="1"/>
      <w:marLeft w:val="0"/>
      <w:marRight w:val="0"/>
      <w:marTop w:val="0"/>
      <w:marBottom w:val="0"/>
      <w:divBdr>
        <w:top w:val="none" w:sz="0" w:space="0" w:color="auto"/>
        <w:left w:val="none" w:sz="0" w:space="0" w:color="auto"/>
        <w:bottom w:val="none" w:sz="0" w:space="0" w:color="auto"/>
        <w:right w:val="none" w:sz="0" w:space="0" w:color="auto"/>
      </w:divBdr>
      <w:divsChild>
        <w:div w:id="124277947">
          <w:marLeft w:val="0"/>
          <w:marRight w:val="0"/>
          <w:marTop w:val="0"/>
          <w:marBottom w:val="0"/>
          <w:divBdr>
            <w:top w:val="none" w:sz="0" w:space="0" w:color="auto"/>
            <w:left w:val="none" w:sz="0" w:space="0" w:color="auto"/>
            <w:bottom w:val="none" w:sz="0" w:space="0" w:color="auto"/>
            <w:right w:val="none" w:sz="0" w:space="0" w:color="auto"/>
          </w:divBdr>
          <w:divsChild>
            <w:div w:id="322397715">
              <w:marLeft w:val="0"/>
              <w:marRight w:val="0"/>
              <w:marTop w:val="0"/>
              <w:marBottom w:val="0"/>
              <w:divBdr>
                <w:top w:val="none" w:sz="0" w:space="0" w:color="auto"/>
                <w:left w:val="none" w:sz="0" w:space="0" w:color="auto"/>
                <w:bottom w:val="none" w:sz="0" w:space="0" w:color="auto"/>
                <w:right w:val="none" w:sz="0" w:space="0" w:color="auto"/>
              </w:divBdr>
              <w:divsChild>
                <w:div w:id="643312804">
                  <w:marLeft w:val="0"/>
                  <w:marRight w:val="0"/>
                  <w:marTop w:val="0"/>
                  <w:marBottom w:val="0"/>
                  <w:divBdr>
                    <w:top w:val="none" w:sz="0" w:space="0" w:color="auto"/>
                    <w:left w:val="none" w:sz="0" w:space="0" w:color="auto"/>
                    <w:bottom w:val="none" w:sz="0" w:space="0" w:color="auto"/>
                    <w:right w:val="none" w:sz="0" w:space="0" w:color="auto"/>
                  </w:divBdr>
                  <w:divsChild>
                    <w:div w:id="11263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0162">
      <w:bodyDiv w:val="1"/>
      <w:marLeft w:val="0"/>
      <w:marRight w:val="0"/>
      <w:marTop w:val="0"/>
      <w:marBottom w:val="0"/>
      <w:divBdr>
        <w:top w:val="none" w:sz="0" w:space="0" w:color="auto"/>
        <w:left w:val="none" w:sz="0" w:space="0" w:color="auto"/>
        <w:bottom w:val="none" w:sz="0" w:space="0" w:color="auto"/>
        <w:right w:val="none" w:sz="0" w:space="0" w:color="auto"/>
      </w:divBdr>
      <w:divsChild>
        <w:div w:id="2072119879">
          <w:marLeft w:val="0"/>
          <w:marRight w:val="0"/>
          <w:marTop w:val="0"/>
          <w:marBottom w:val="0"/>
          <w:divBdr>
            <w:top w:val="none" w:sz="0" w:space="0" w:color="auto"/>
            <w:left w:val="none" w:sz="0" w:space="0" w:color="auto"/>
            <w:bottom w:val="none" w:sz="0" w:space="0" w:color="auto"/>
            <w:right w:val="none" w:sz="0" w:space="0" w:color="auto"/>
          </w:divBdr>
          <w:divsChild>
            <w:div w:id="999892781">
              <w:marLeft w:val="0"/>
              <w:marRight w:val="0"/>
              <w:marTop w:val="0"/>
              <w:marBottom w:val="0"/>
              <w:divBdr>
                <w:top w:val="none" w:sz="0" w:space="0" w:color="auto"/>
                <w:left w:val="none" w:sz="0" w:space="0" w:color="auto"/>
                <w:bottom w:val="none" w:sz="0" w:space="0" w:color="auto"/>
                <w:right w:val="none" w:sz="0" w:space="0" w:color="auto"/>
              </w:divBdr>
              <w:divsChild>
                <w:div w:id="1549025663">
                  <w:marLeft w:val="0"/>
                  <w:marRight w:val="0"/>
                  <w:marTop w:val="0"/>
                  <w:marBottom w:val="0"/>
                  <w:divBdr>
                    <w:top w:val="none" w:sz="0" w:space="0" w:color="auto"/>
                    <w:left w:val="none" w:sz="0" w:space="0" w:color="auto"/>
                    <w:bottom w:val="none" w:sz="0" w:space="0" w:color="auto"/>
                    <w:right w:val="none" w:sz="0" w:space="0" w:color="auto"/>
                  </w:divBdr>
                  <w:divsChild>
                    <w:div w:id="2108498395">
                      <w:marLeft w:val="0"/>
                      <w:marRight w:val="0"/>
                      <w:marTop w:val="0"/>
                      <w:marBottom w:val="0"/>
                      <w:divBdr>
                        <w:top w:val="none" w:sz="0" w:space="0" w:color="auto"/>
                        <w:left w:val="none" w:sz="0" w:space="0" w:color="auto"/>
                        <w:bottom w:val="none" w:sz="0" w:space="0" w:color="auto"/>
                        <w:right w:val="none" w:sz="0" w:space="0" w:color="auto"/>
                      </w:divBdr>
                      <w:divsChild>
                        <w:div w:id="17222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phap-luat/tim-van-ban.aspx?keyword=46/2014/N%C4%90-CP&amp;area=2&amp;type=0&amp;match=False&amp;vc=True&amp;lan=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77/2014/TT-BTC&amp;area=2&amp;type=0&amp;match=False&amp;vc=True&amp;lan=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huvienphapluat.vn/phap-luat/tim-van-ban.aspx?keyword=45/2014/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76/2014/TT-BTC&amp;area=2&amp;type=0&amp;match=False&amp;vc=True&amp;lan=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3EB7-2402-4678-8953-E44B57B0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THU VI?N PHÁP LU?T</vt:lpstr>
    </vt:vector>
  </TitlesOfParts>
  <Company/>
  <LinksUpToDate>false</LinksUpToDate>
  <CharactersWithSpaces>28731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Duy</cp:lastModifiedBy>
  <cp:revision>2</cp:revision>
  <cp:lastPrinted>2017-07-20T02:41:00Z</cp:lastPrinted>
  <dcterms:created xsi:type="dcterms:W3CDTF">2017-09-01T07:41:00Z</dcterms:created>
  <dcterms:modified xsi:type="dcterms:W3CDTF">2017-09-01T07:41:00Z</dcterms:modified>
</cp:coreProperties>
</file>